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CF" w:rsidRDefault="00A802A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147CF" w:rsidRDefault="00A802A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802A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147CF" w:rsidRDefault="00A802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147CF" w:rsidRDefault="00A802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47CF" w:rsidRDefault="00A802A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147CF" w:rsidRDefault="00A802A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Hedlund</w:t>
      </w:r>
    </w:p>
    <w:p w:rsidR="002147CF" w:rsidRDefault="00A802A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47CF" w:rsidRDefault="00A802A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147CF" w:rsidRDefault="00A802A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147CF" w:rsidRDefault="00A802A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affordabl</w:t>
      </w:r>
      <w:r>
        <w:rPr>
          <w:rFonts w:ascii="Times New Roman"/>
          <w:sz w:val="24"/>
        </w:rPr>
        <w:t>e housing use restrictions.</w:t>
      </w:r>
      <w:proofErr w:type="gramEnd"/>
    </w:p>
    <w:p w:rsidR="002147CF" w:rsidRDefault="00A802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47CF" w:rsidRDefault="00A802A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147CF" w:rsidRDefault="002147C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147C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147CF" w:rsidRDefault="00A802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147CF" w:rsidRDefault="00A802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147C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147CF" w:rsidRDefault="00A802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2147CF" w:rsidRDefault="00A802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</w:tbl>
      </w:sdtContent>
    </w:sdt>
    <w:p w:rsidR="002147CF" w:rsidRDefault="00A802AF">
      <w:pPr>
        <w:suppressLineNumbers/>
      </w:pPr>
      <w:r>
        <w:br w:type="page"/>
      </w:r>
    </w:p>
    <w:p w:rsidR="002147CF" w:rsidRDefault="00A802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147CF" w:rsidRDefault="00A802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47CF" w:rsidRDefault="00A802A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147CF" w:rsidRDefault="00A802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47CF" w:rsidRDefault="00A802AF">
      <w:pPr>
        <w:suppressLineNumbers/>
        <w:spacing w:after="2"/>
      </w:pPr>
      <w:r>
        <w:rPr>
          <w:sz w:val="14"/>
        </w:rPr>
        <w:br/>
      </w:r>
      <w:r>
        <w:br/>
      </w:r>
    </w:p>
    <w:p w:rsidR="002147CF" w:rsidRDefault="00A802A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affordable housing use restrictions.</w:t>
      </w:r>
      <w:proofErr w:type="gramEnd"/>
      <w:r>
        <w:br/>
      </w:r>
      <w:r>
        <w:br/>
      </w:r>
      <w:r>
        <w:br/>
      </w:r>
    </w:p>
    <w:p w:rsidR="002147CF" w:rsidRDefault="00A802A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802AF" w:rsidRDefault="00A802AF" w:rsidP="00A80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1: Section 21 of chapter 40B of the Massachusetts General laws is hereby amended by </w:t>
      </w:r>
      <w:r w:rsidRPr="00637CB7">
        <w:rPr>
          <w:rFonts w:ascii="Times New Roman" w:hAnsi="Times New Roman" w:cs="Times New Roman"/>
          <w:sz w:val="24"/>
          <w:szCs w:val="24"/>
        </w:rPr>
        <w:t>adding the following paragraph: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147CF" w:rsidRPr="00A802AF" w:rsidRDefault="00A802AF" w:rsidP="00A80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low and moderate income housing units built using a comprehensive permit must include a use restriction that remains in effect in perpetuity. Local boards shall have the sole discretion to waive this clause provided that it is replaced with a use restriction that remains in effect for a minimum of 30 years.  </w:t>
      </w:r>
    </w:p>
    <w:sectPr w:rsidR="002147CF" w:rsidRPr="00A802AF" w:rsidSect="002147C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47CF"/>
    <w:rsid w:val="002147CF"/>
    <w:rsid w:val="00A8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02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2009-01-13T16:08:00Z</dcterms:created>
  <dcterms:modified xsi:type="dcterms:W3CDTF">2009-01-13T16:08:00Z</dcterms:modified>
</cp:coreProperties>
</file>