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CE" w:rsidRDefault="00BA36FC">
      <w:pPr>
        <w:suppressLineNumbers/>
        <w:spacing w:after="2"/>
        <w:jc w:val="center"/>
      </w:pPr>
      <w:r>
        <w:rPr>
          <w:rFonts w:ascii="Arial"/>
          <w:sz w:val="18"/>
        </w:rPr>
        <w:t>SENATE DOCKET, NO.         FILED ON: 1/12/2009</w:t>
      </w:r>
    </w:p>
    <w:p w:rsidR="006903CE" w:rsidRDefault="00BA36F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A36FC" w:rsidP="00DB534B">
            <w:pPr>
              <w:suppressLineNumbers/>
              <w:jc w:val="right"/>
              <w:rPr>
                <w:b/>
                <w:sz w:val="28"/>
              </w:rPr>
            </w:pPr>
          </w:p>
        </w:tc>
      </w:tr>
    </w:tbl>
    <w:p w:rsidR="006903CE" w:rsidRDefault="00BA36FC">
      <w:pPr>
        <w:suppressLineNumbers/>
        <w:spacing w:before="2" w:after="2"/>
        <w:jc w:val="center"/>
      </w:pPr>
      <w:r>
        <w:rPr>
          <w:rFonts w:ascii="Old English Text MT"/>
          <w:sz w:val="32"/>
        </w:rPr>
        <w:t>The Commonwealth of Massachusetts</w:t>
      </w:r>
    </w:p>
    <w:p w:rsidR="006903CE" w:rsidRDefault="00BA36FC">
      <w:pPr>
        <w:suppressLineNumbers/>
        <w:spacing w:after="2"/>
        <w:jc w:val="center"/>
      </w:pPr>
      <w:r>
        <w:rPr>
          <w:rFonts w:ascii="Times New Roman"/>
          <w:b/>
          <w:sz w:val="32"/>
          <w:vertAlign w:val="superscript"/>
        </w:rPr>
        <w:t>_______________</w:t>
      </w:r>
    </w:p>
    <w:p w:rsidR="006903CE" w:rsidRDefault="00BA36FC">
      <w:pPr>
        <w:suppressLineNumbers/>
        <w:spacing w:before="2"/>
        <w:jc w:val="center"/>
      </w:pPr>
      <w:r>
        <w:rPr>
          <w:rFonts w:ascii="Times New Roman"/>
          <w:sz w:val="20"/>
        </w:rPr>
        <w:t>PRESENTED BY:</w:t>
      </w:r>
    </w:p>
    <w:p w:rsidR="006903CE" w:rsidRDefault="00BA36FC">
      <w:pPr>
        <w:suppressLineNumbers/>
        <w:spacing w:after="2"/>
        <w:jc w:val="center"/>
      </w:pPr>
      <w:r>
        <w:rPr>
          <w:rFonts w:ascii="Times New Roman"/>
          <w:b/>
          <w:sz w:val="24"/>
        </w:rPr>
        <w:t>Mr. Richard T. Moore</w:t>
      </w:r>
    </w:p>
    <w:p w:rsidR="006903CE" w:rsidRDefault="00BA36FC">
      <w:pPr>
        <w:suppressLineNumbers/>
        <w:jc w:val="center"/>
      </w:pPr>
      <w:r>
        <w:rPr>
          <w:rFonts w:ascii="Times New Roman"/>
          <w:b/>
          <w:sz w:val="32"/>
          <w:vertAlign w:val="superscript"/>
        </w:rPr>
        <w:t>_______________</w:t>
      </w:r>
    </w:p>
    <w:p w:rsidR="006903CE" w:rsidRDefault="00BA36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903CE" w:rsidRDefault="00BA36FC">
      <w:pPr>
        <w:suppressLineNumbers/>
      </w:pPr>
      <w:r>
        <w:rPr>
          <w:rFonts w:ascii="Times New Roman"/>
          <w:sz w:val="20"/>
        </w:rPr>
        <w:tab/>
        <w:t>The undersigned legislators and/or citizens respectfully petition for the passage of the accompanying bill:</w:t>
      </w:r>
    </w:p>
    <w:p w:rsidR="006903CE" w:rsidRDefault="00BA36FC">
      <w:pPr>
        <w:suppressLineNumbers/>
        <w:spacing w:after="2"/>
        <w:jc w:val="center"/>
      </w:pPr>
      <w:proofErr w:type="gramStart"/>
      <w:r>
        <w:rPr>
          <w:rFonts w:ascii="Times New Roman"/>
          <w:sz w:val="24"/>
        </w:rPr>
        <w:t xml:space="preserve">An Act Requiring the Public </w:t>
      </w:r>
      <w:r>
        <w:rPr>
          <w:rFonts w:ascii="Times New Roman"/>
          <w:sz w:val="24"/>
        </w:rPr>
        <w:t>Reporting of Potentially Preventable Hospital Readmissions.</w:t>
      </w:r>
      <w:proofErr w:type="gramEnd"/>
    </w:p>
    <w:p w:rsidR="006903CE" w:rsidRDefault="00BA36FC">
      <w:pPr>
        <w:suppressLineNumbers/>
        <w:spacing w:after="2"/>
        <w:jc w:val="center"/>
      </w:pPr>
      <w:r>
        <w:rPr>
          <w:rFonts w:ascii="Times New Roman"/>
          <w:b/>
          <w:sz w:val="32"/>
          <w:vertAlign w:val="superscript"/>
        </w:rPr>
        <w:t>_______________</w:t>
      </w:r>
    </w:p>
    <w:p w:rsidR="006903CE" w:rsidRDefault="00BA36FC">
      <w:pPr>
        <w:suppressLineNumbers/>
        <w:jc w:val="center"/>
      </w:pPr>
      <w:r>
        <w:rPr>
          <w:rFonts w:ascii="Times New Roman"/>
          <w:sz w:val="20"/>
        </w:rPr>
        <w:t>PETITION OF:</w:t>
      </w:r>
    </w:p>
    <w:p w:rsidR="006903CE" w:rsidRDefault="006903C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903CE">
            <w:tblPrEx>
              <w:tblCellMar>
                <w:top w:w="0" w:type="dxa"/>
                <w:bottom w:w="0" w:type="dxa"/>
              </w:tblCellMar>
            </w:tblPrEx>
            <w:tc>
              <w:tcPr>
                <w:tcW w:w="4500" w:type="dxa"/>
                <w:tcBorders>
                  <w:top w:val="nil"/>
                  <w:bottom w:val="single" w:sz="4" w:space="0" w:color="auto"/>
                  <w:right w:val="single" w:sz="4" w:space="0" w:color="auto"/>
                </w:tcBorders>
              </w:tcPr>
              <w:p w:rsidR="006903CE" w:rsidRDefault="00BA36F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903CE" w:rsidRDefault="00BA36FC">
                <w:pPr>
                  <w:suppressLineNumbers/>
                  <w:spacing w:after="2"/>
                  <w:rPr>
                    <w:smallCaps/>
                  </w:rPr>
                </w:pPr>
                <w:r>
                  <w:rPr>
                    <w:rFonts w:ascii="Times New Roman"/>
                    <w:smallCaps/>
                    <w:sz w:val="24"/>
                  </w:rPr>
                  <w:t>District/Address:</w:t>
                </w:r>
              </w:p>
            </w:tc>
          </w:tr>
          <w:tr w:rsidR="006903CE">
            <w:tblPrEx>
              <w:tblCellMar>
                <w:top w:w="0" w:type="dxa"/>
                <w:bottom w:w="0" w:type="dxa"/>
              </w:tblCellMar>
            </w:tblPrEx>
            <w:tc>
              <w:tcPr>
                <w:tcW w:w="4500" w:type="dxa"/>
              </w:tcPr>
              <w:p w:rsidR="006903CE" w:rsidRDefault="00BA36FC">
                <w:pPr>
                  <w:suppressLineNumbers/>
                  <w:spacing w:after="2"/>
                  <w:rPr>
                    <w:rFonts w:ascii="Times New Roman"/>
                  </w:rPr>
                </w:pPr>
                <w:r>
                  <w:rPr>
                    <w:rFonts w:ascii="Times New Roman"/>
                  </w:rPr>
                  <w:t>Mr. Richard T. Moore</w:t>
                </w:r>
              </w:p>
            </w:tc>
            <w:tc>
              <w:tcPr>
                <w:tcW w:w="4500" w:type="dxa"/>
              </w:tcPr>
              <w:p w:rsidR="006903CE" w:rsidRDefault="00BA36FC">
                <w:pPr>
                  <w:suppressLineNumbers/>
                  <w:spacing w:after="2"/>
                  <w:rPr>
                    <w:rFonts w:ascii="Times New Roman"/>
                  </w:rPr>
                </w:pPr>
                <w:r>
                  <w:rPr>
                    <w:rFonts w:ascii="Times New Roman"/>
                  </w:rPr>
                  <w:t>Worcester and Norfolk</w:t>
                </w:r>
              </w:p>
            </w:tc>
          </w:tr>
        </w:tbl>
      </w:sdtContent>
    </w:sdt>
    <w:p w:rsidR="006903CE" w:rsidRDefault="00BA36FC">
      <w:pPr>
        <w:suppressLineNumbers/>
      </w:pPr>
      <w:r>
        <w:br w:type="page"/>
      </w:r>
    </w:p>
    <w:p w:rsidR="006903CE" w:rsidRDefault="00BA36FC">
      <w:pPr>
        <w:suppressLineNumbers/>
        <w:spacing w:before="2" w:after="2"/>
        <w:jc w:val="center"/>
      </w:pPr>
      <w:r>
        <w:rPr>
          <w:rFonts w:ascii="Old English Text MT"/>
          <w:sz w:val="32"/>
        </w:rPr>
        <w:lastRenderedPageBreak/>
        <w:t>The Commonwealth of Massachusetts</w:t>
      </w:r>
      <w:r>
        <w:rPr>
          <w:rFonts w:ascii="Old English Text MT"/>
          <w:sz w:val="32"/>
        </w:rPr>
        <w:br/>
      </w:r>
    </w:p>
    <w:p w:rsidR="006903CE" w:rsidRDefault="00BA36FC">
      <w:pPr>
        <w:suppressLineNumbers/>
        <w:spacing w:after="2"/>
        <w:jc w:val="center"/>
      </w:pPr>
      <w:r>
        <w:rPr>
          <w:rFonts w:ascii="Times New Roman"/>
          <w:b/>
          <w:sz w:val="24"/>
          <w:vertAlign w:val="superscript"/>
        </w:rPr>
        <w:t>_______________</w:t>
      </w:r>
    </w:p>
    <w:p w:rsidR="006903CE" w:rsidRDefault="00BA36FC">
      <w:pPr>
        <w:suppressLineNumbers/>
        <w:spacing w:after="2"/>
        <w:jc w:val="center"/>
      </w:pPr>
      <w:r>
        <w:rPr>
          <w:rFonts w:ascii="Times New Roman"/>
          <w:b/>
          <w:sz w:val="18"/>
        </w:rPr>
        <w:t>In the Year Two Thousand and Nine</w:t>
      </w:r>
    </w:p>
    <w:p w:rsidR="006903CE" w:rsidRDefault="00BA36FC">
      <w:pPr>
        <w:suppressLineNumbers/>
        <w:spacing w:after="2"/>
        <w:jc w:val="center"/>
      </w:pPr>
      <w:r>
        <w:rPr>
          <w:rFonts w:ascii="Times New Roman"/>
          <w:b/>
          <w:sz w:val="24"/>
          <w:vertAlign w:val="superscript"/>
        </w:rPr>
        <w:t>_______________</w:t>
      </w:r>
    </w:p>
    <w:p w:rsidR="006903CE" w:rsidRDefault="00BA36FC">
      <w:pPr>
        <w:suppressLineNumbers/>
        <w:spacing w:after="2"/>
      </w:pPr>
      <w:r>
        <w:rPr>
          <w:sz w:val="14"/>
        </w:rPr>
        <w:br/>
      </w:r>
      <w:r>
        <w:br/>
      </w:r>
    </w:p>
    <w:p w:rsidR="006903CE" w:rsidRDefault="00BA36FC">
      <w:pPr>
        <w:suppressLineNumbers/>
      </w:pPr>
      <w:proofErr w:type="gramStart"/>
      <w:r>
        <w:rPr>
          <w:rFonts w:ascii="Times New Roman"/>
          <w:smallCaps/>
          <w:sz w:val="28"/>
        </w:rPr>
        <w:t>An Act Requiring the Public Reporting of Potentially Preventable Hospital Readmissions.</w:t>
      </w:r>
      <w:proofErr w:type="gramEnd"/>
      <w:r>
        <w:br/>
      </w:r>
      <w:r>
        <w:br/>
      </w:r>
      <w:r>
        <w:br/>
      </w:r>
    </w:p>
    <w:p w:rsidR="006903CE" w:rsidRDefault="00BA36F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A36FC" w:rsidRPr="00BA36FC" w:rsidRDefault="00BA36FC" w:rsidP="00BA36FC">
      <w:pPr>
        <w:spacing w:line="480" w:lineRule="auto"/>
        <w:rPr>
          <w:rFonts w:ascii="Times New Roman"/>
          <w:sz w:val="24"/>
          <w:szCs w:val="24"/>
        </w:rPr>
      </w:pPr>
      <w:r>
        <w:rPr>
          <w:rFonts w:ascii="Times New Roman"/>
        </w:rPr>
        <w:tab/>
      </w:r>
      <w:proofErr w:type="gramStart"/>
      <w:r w:rsidRPr="00BA36FC">
        <w:rPr>
          <w:rFonts w:ascii="Times New Roman"/>
          <w:sz w:val="24"/>
          <w:szCs w:val="24"/>
        </w:rPr>
        <w:t>SECTION 1.</w:t>
      </w:r>
      <w:proofErr w:type="gramEnd"/>
      <w:r w:rsidRPr="00BA36FC">
        <w:rPr>
          <w:rFonts w:ascii="Times New Roman"/>
          <w:sz w:val="24"/>
          <w:szCs w:val="24"/>
        </w:rPr>
        <w:t xml:space="preserve"> Section 16K of chapter 6A of the General Laws is hereby amended by deleting in subsection (e</w:t>
      </w:r>
      <w:proofErr w:type="gramStart"/>
      <w:r w:rsidRPr="00BA36FC">
        <w:rPr>
          <w:rFonts w:ascii="Times New Roman"/>
          <w:sz w:val="24"/>
          <w:szCs w:val="24"/>
        </w:rPr>
        <w:t>)(</w:t>
      </w:r>
      <w:proofErr w:type="gramEnd"/>
      <w:r w:rsidRPr="00BA36FC">
        <w:rPr>
          <w:rFonts w:ascii="Times New Roman"/>
          <w:sz w:val="24"/>
          <w:szCs w:val="24"/>
        </w:rPr>
        <w:t xml:space="preserve">iv) in its entirety and inserting in place thereof the following section: </w:t>
      </w:r>
    </w:p>
    <w:p w:rsidR="00BA36FC" w:rsidRPr="00BA36FC" w:rsidRDefault="00BA36FC" w:rsidP="00BA36FC">
      <w:pPr>
        <w:spacing w:line="480" w:lineRule="auto"/>
        <w:rPr>
          <w:rFonts w:ascii="Times New Roman"/>
          <w:sz w:val="24"/>
          <w:szCs w:val="24"/>
        </w:rPr>
      </w:pPr>
      <w:r w:rsidRPr="00BA36FC">
        <w:rPr>
          <w:rFonts w:ascii="Times New Roman"/>
          <w:sz w:val="24"/>
          <w:szCs w:val="24"/>
        </w:rPr>
        <w:t>“</w:t>
      </w:r>
      <w:r w:rsidRPr="00BA36FC">
        <w:rPr>
          <w:rFonts w:ascii="Times New Roman"/>
          <w:sz w:val="24"/>
          <w:szCs w:val="24"/>
        </w:rPr>
        <w:t xml:space="preserve">(iv) </w:t>
      </w:r>
      <w:proofErr w:type="gramStart"/>
      <w:r w:rsidRPr="00BA36FC">
        <w:rPr>
          <w:rFonts w:ascii="Times New Roman"/>
          <w:sz w:val="24"/>
          <w:szCs w:val="24"/>
        </w:rPr>
        <w:t>data</w:t>
      </w:r>
      <w:proofErr w:type="gramEnd"/>
      <w:r w:rsidRPr="00BA36FC">
        <w:rPr>
          <w:rFonts w:ascii="Times New Roman"/>
          <w:sz w:val="24"/>
          <w:szCs w:val="24"/>
        </w:rPr>
        <w:t xml:space="preserve"> concerning healthcare-acquired infections, serious reportable events, and potentially preventable readmissions reported under section 51H of chapter 111.</w:t>
      </w:r>
      <w:r w:rsidRPr="00BA36FC">
        <w:rPr>
          <w:rFonts w:ascii="Times New Roman"/>
          <w:sz w:val="24"/>
          <w:szCs w:val="24"/>
        </w:rPr>
        <w:t>”</w:t>
      </w:r>
    </w:p>
    <w:p w:rsidR="00BA36FC" w:rsidRPr="00BA36FC" w:rsidRDefault="00BA36FC" w:rsidP="00BA36FC">
      <w:pPr>
        <w:spacing w:line="480" w:lineRule="auto"/>
        <w:rPr>
          <w:rFonts w:ascii="Times New Roman"/>
          <w:sz w:val="24"/>
          <w:szCs w:val="24"/>
        </w:rPr>
      </w:pPr>
      <w:proofErr w:type="gramStart"/>
      <w:r w:rsidRPr="00BA36FC">
        <w:rPr>
          <w:rFonts w:ascii="Times New Roman"/>
          <w:sz w:val="24"/>
          <w:szCs w:val="24"/>
        </w:rPr>
        <w:t>SECTION 2.</w:t>
      </w:r>
      <w:proofErr w:type="gramEnd"/>
      <w:r w:rsidRPr="00BA36FC">
        <w:rPr>
          <w:rFonts w:ascii="Times New Roman"/>
          <w:sz w:val="24"/>
          <w:szCs w:val="24"/>
        </w:rPr>
        <w:t xml:space="preserve"> Section 51H of chapter 111 of the General Laws is hereby amended by inserting in section (a) the following definition:- </w:t>
      </w:r>
      <w:r w:rsidRPr="00BA36FC">
        <w:rPr>
          <w:rFonts w:ascii="Times New Roman"/>
          <w:sz w:val="24"/>
          <w:szCs w:val="24"/>
        </w:rPr>
        <w:t>“</w:t>
      </w:r>
      <w:r w:rsidRPr="00BA36FC">
        <w:rPr>
          <w:rFonts w:ascii="Times New Roman"/>
          <w:sz w:val="24"/>
          <w:szCs w:val="24"/>
        </w:rPr>
        <w:t>Potentially preventable readmission</w:t>
      </w:r>
      <w:r w:rsidRPr="00BA36FC">
        <w:rPr>
          <w:rFonts w:ascii="Times New Roman"/>
          <w:sz w:val="24"/>
          <w:szCs w:val="24"/>
        </w:rPr>
        <w:t>”</w:t>
      </w:r>
      <w:r w:rsidRPr="00BA36FC">
        <w:rPr>
          <w:rFonts w:ascii="Times New Roman"/>
          <w:sz w:val="24"/>
          <w:szCs w:val="24"/>
        </w:rPr>
        <w:t xml:space="preserve">,  an admission to an acute care facility that follows a prior acute care admission within a specific time interval to be defined by the Division of Health Care Finance and Policy that is (1) clinically related to a prior admission; (2) potentially preventable, if there was a reasonable expectation that it could have been prevented by one or more of the following: (a) the provision of quality care in the initial hospitalization, (b) adequate discharge planning, (c) adequate post-discharge follow up, or (d) improved coordination between inpatient and outpatient health care teams. </w:t>
      </w:r>
    </w:p>
    <w:p w:rsidR="00BA36FC" w:rsidRPr="00BA36FC" w:rsidRDefault="00BA36FC" w:rsidP="00BA36FC">
      <w:pPr>
        <w:spacing w:line="480" w:lineRule="auto"/>
        <w:rPr>
          <w:rFonts w:ascii="Times New Roman"/>
          <w:sz w:val="24"/>
          <w:szCs w:val="24"/>
        </w:rPr>
      </w:pPr>
      <w:proofErr w:type="gramStart"/>
      <w:r w:rsidRPr="00BA36FC">
        <w:rPr>
          <w:rFonts w:ascii="Times New Roman"/>
          <w:sz w:val="24"/>
          <w:szCs w:val="24"/>
        </w:rPr>
        <w:lastRenderedPageBreak/>
        <w:t>SECTION 3.</w:t>
      </w:r>
      <w:proofErr w:type="gramEnd"/>
      <w:r w:rsidRPr="00BA36FC">
        <w:rPr>
          <w:rFonts w:ascii="Times New Roman"/>
          <w:sz w:val="24"/>
          <w:szCs w:val="24"/>
        </w:rPr>
        <w:t xml:space="preserve"> </w:t>
      </w:r>
      <w:proofErr w:type="gramStart"/>
      <w:r w:rsidRPr="00BA36FC">
        <w:rPr>
          <w:rFonts w:ascii="Times New Roman"/>
          <w:sz w:val="24"/>
          <w:szCs w:val="24"/>
        </w:rPr>
        <w:t>the</w:t>
      </w:r>
      <w:proofErr w:type="gramEnd"/>
      <w:r w:rsidRPr="00BA36FC">
        <w:rPr>
          <w:rFonts w:ascii="Times New Roman"/>
          <w:sz w:val="24"/>
          <w:szCs w:val="24"/>
        </w:rPr>
        <w:t xml:space="preserve"> Division of Health Care Finance and Policy will promulgate regulations further defining </w:t>
      </w:r>
      <w:r w:rsidRPr="00BA36FC">
        <w:rPr>
          <w:rFonts w:ascii="Times New Roman"/>
          <w:sz w:val="24"/>
          <w:szCs w:val="24"/>
        </w:rPr>
        <w:t>“</w:t>
      </w:r>
      <w:r w:rsidRPr="00BA36FC">
        <w:rPr>
          <w:rFonts w:ascii="Times New Roman"/>
          <w:sz w:val="24"/>
          <w:szCs w:val="24"/>
        </w:rPr>
        <w:t>potentially preventable readmission</w:t>
      </w:r>
      <w:r w:rsidRPr="00BA36FC">
        <w:rPr>
          <w:rFonts w:ascii="Times New Roman"/>
          <w:sz w:val="24"/>
          <w:szCs w:val="24"/>
        </w:rPr>
        <w:t>”</w:t>
      </w:r>
      <w:r w:rsidRPr="00BA36FC">
        <w:rPr>
          <w:rFonts w:ascii="Times New Roman"/>
          <w:sz w:val="24"/>
          <w:szCs w:val="24"/>
        </w:rPr>
        <w:t>, including where appropriate the specific time interval(s) to be applied in Section 2.</w:t>
      </w:r>
    </w:p>
    <w:p w:rsidR="00BA36FC" w:rsidRPr="00BA36FC" w:rsidRDefault="00BA36FC" w:rsidP="00BA36FC">
      <w:pPr>
        <w:spacing w:line="480" w:lineRule="auto"/>
        <w:rPr>
          <w:rFonts w:ascii="Times New Roman"/>
          <w:sz w:val="24"/>
          <w:szCs w:val="24"/>
        </w:rPr>
      </w:pPr>
      <w:proofErr w:type="gramStart"/>
      <w:r w:rsidRPr="00BA36FC">
        <w:rPr>
          <w:rFonts w:ascii="Times New Roman"/>
          <w:sz w:val="24"/>
          <w:szCs w:val="24"/>
        </w:rPr>
        <w:t>SECTION 4.</w:t>
      </w:r>
      <w:proofErr w:type="gramEnd"/>
      <w:r w:rsidRPr="00BA36FC">
        <w:rPr>
          <w:rFonts w:ascii="Times New Roman"/>
          <w:sz w:val="24"/>
          <w:szCs w:val="24"/>
        </w:rPr>
        <w:t xml:space="preserve"> Section 51H of chapter 111 of the General Laws is further amended in by eliminating section (b) in its entirety and inserting the following section:</w:t>
      </w:r>
    </w:p>
    <w:p w:rsidR="00BA36FC" w:rsidRPr="00BA36FC" w:rsidRDefault="00BA36FC" w:rsidP="00BA36FC">
      <w:pPr>
        <w:spacing w:line="480" w:lineRule="auto"/>
        <w:rPr>
          <w:rFonts w:ascii="Times New Roman"/>
          <w:sz w:val="24"/>
          <w:szCs w:val="24"/>
        </w:rPr>
      </w:pPr>
      <w:r w:rsidRPr="00BA36FC">
        <w:rPr>
          <w:rFonts w:ascii="Times New Roman"/>
          <w:sz w:val="24"/>
          <w:szCs w:val="24"/>
        </w:rPr>
        <w:t>A facility shall report data and information about healthcare-associated infections, serious reportable events, and potentially preventable readmissions. A serious reportable event shall be reported by a facility no later than 15 working days after its discovery. Reports shall be made in the manner and form established by the department in its regulations. The department may require facilities to register in and report to nationally recognized quality and safety organizations.</w:t>
      </w:r>
    </w:p>
    <w:p w:rsidR="00BA36FC" w:rsidRPr="00BA36FC" w:rsidRDefault="00BA36FC" w:rsidP="00BA36FC">
      <w:pPr>
        <w:spacing w:line="480" w:lineRule="auto"/>
        <w:rPr>
          <w:rFonts w:ascii="Times New Roman"/>
          <w:sz w:val="24"/>
          <w:szCs w:val="24"/>
        </w:rPr>
      </w:pPr>
      <w:r w:rsidRPr="00BA36FC">
        <w:rPr>
          <w:rFonts w:ascii="Times New Roman"/>
          <w:sz w:val="24"/>
          <w:szCs w:val="24"/>
        </w:rPr>
        <w:t>SECTION 5 Section 51H of chapter 111 of the General Laws is further amended in by eliminating section (b) in its entirety and inserting the following section:</w:t>
      </w:r>
    </w:p>
    <w:p w:rsidR="00BA36FC" w:rsidRPr="00BA36FC" w:rsidRDefault="00BA36FC" w:rsidP="00BA36FC">
      <w:pPr>
        <w:spacing w:line="480" w:lineRule="auto"/>
        <w:rPr>
          <w:rFonts w:ascii="Times New Roman"/>
          <w:sz w:val="24"/>
          <w:szCs w:val="24"/>
        </w:rPr>
      </w:pPr>
      <w:r w:rsidRPr="00BA36FC">
        <w:rPr>
          <w:rFonts w:ascii="Times New Roman"/>
          <w:sz w:val="24"/>
          <w:szCs w:val="24"/>
        </w:rPr>
        <w:t>A facility shall report data and information about healthcare-associated infections, serious reportable events, potentially preventable readmissions, and serious adverse drug events.  A serious reportable event shall be reported by a facility no later than 15 working days after its discovery.  Reports shall be made in the manner and form established by the department in its regulations.  The department may require facilities to register in and report to nationally recognized quality and safety organizations.</w:t>
      </w:r>
    </w:p>
    <w:p w:rsidR="00BA36FC" w:rsidRPr="00BA36FC" w:rsidRDefault="00BA36FC" w:rsidP="00BA36FC">
      <w:pPr>
        <w:spacing w:line="480" w:lineRule="auto"/>
        <w:rPr>
          <w:rFonts w:ascii="Times New Roman"/>
          <w:sz w:val="24"/>
          <w:szCs w:val="24"/>
        </w:rPr>
      </w:pPr>
      <w:proofErr w:type="gramStart"/>
      <w:r w:rsidRPr="00BA36FC">
        <w:rPr>
          <w:rFonts w:ascii="Times New Roman"/>
          <w:sz w:val="24"/>
          <w:szCs w:val="24"/>
        </w:rPr>
        <w:t>SECTION 6.</w:t>
      </w:r>
      <w:proofErr w:type="gramEnd"/>
      <w:r w:rsidRPr="00BA36FC">
        <w:rPr>
          <w:rFonts w:ascii="Times New Roman"/>
          <w:sz w:val="24"/>
          <w:szCs w:val="24"/>
        </w:rPr>
        <w:t xml:space="preserve"> Notwithstanding the provisions of any general or special law to the contrary, there is hereby established a special task force to study the driving factors leading to potentially preventable readmissions in the Commonwealth, including patient care settings, patient care </w:t>
      </w:r>
      <w:r w:rsidRPr="00BA36FC">
        <w:rPr>
          <w:rFonts w:ascii="Times New Roman"/>
          <w:sz w:val="24"/>
          <w:szCs w:val="24"/>
        </w:rPr>
        <w:lastRenderedPageBreak/>
        <w:t>transfers, and post-hospitalization follow-up care. The task force shall investigate and report on recent trends in potentially preventable readmissions, the systems analyses related to these trends, and the impact of these trends on the health care delivery system. The task force shall also develop and recommend strategies to eliminate potentially preventable readmissions in the Commonwealth and shall serve as a clearinghouse for initiatives being undertaken across the state to eliminate potentially preventable readmissions.</w:t>
      </w:r>
    </w:p>
    <w:p w:rsidR="00BA36FC" w:rsidRPr="00BA36FC" w:rsidRDefault="00BA36FC" w:rsidP="00BA36FC">
      <w:pPr>
        <w:spacing w:line="480" w:lineRule="auto"/>
        <w:rPr>
          <w:rFonts w:ascii="Times New Roman"/>
          <w:sz w:val="24"/>
          <w:szCs w:val="24"/>
        </w:rPr>
      </w:pPr>
      <w:r w:rsidRPr="00BA36FC">
        <w:rPr>
          <w:rFonts w:ascii="Times New Roman"/>
          <w:sz w:val="24"/>
          <w:szCs w:val="24"/>
        </w:rPr>
        <w:t xml:space="preserve">The task force shall be comprised of 23 members, including the Commissioner of the Division of Health Care Finance and Policy or his designee, who shall serve as the chair, the House and Senate Chairs of the Joint Committee on Health Care or their designee, the Commissioner of Public Health or his designee; the Coordinator of the Health Care Quality and Cost Council or his designee, the Director of the Office of Medicaid Services or his designee, the Director of the Board of Registration in Nursing or his designee; the Director of the Board of Registration in Medicine or his designee; and one representative from each of the following organizations: the Massachusetts Hospital Association, the Massachusetts Medical Society, the Massachusetts Extended Care Federation, the Home Care Alliance of Massachusetts, Blue Cross Blue Shield of Massachusetts, Tufts Health Plan, Harvard Pilgrim Health Plan, the Massachusetts Association of Health Plans, Partners Health Care, the Massachusetts Coalition for the Prevention of Medical Errors, the Betsy Lehman Center for Patient Safety and Medical Error Reduction, Health Care For All, </w:t>
      </w:r>
      <w:proofErr w:type="spellStart"/>
      <w:r w:rsidRPr="00BA36FC">
        <w:rPr>
          <w:rFonts w:ascii="Times New Roman"/>
          <w:sz w:val="24"/>
          <w:szCs w:val="24"/>
        </w:rPr>
        <w:t>MassPro</w:t>
      </w:r>
      <w:proofErr w:type="spellEnd"/>
      <w:r w:rsidRPr="00BA36FC">
        <w:rPr>
          <w:rFonts w:ascii="Times New Roman"/>
          <w:sz w:val="24"/>
          <w:szCs w:val="24"/>
        </w:rPr>
        <w:t>, the Institute for Healthcare Improvement and the Associated Industries of Massachusetts. The task force shall file a report of its study, including its recommendations and drafts of any legislation, if necessary, with the clerks of the Senate and House of Representatives by December 31, 2009.</w:t>
      </w:r>
    </w:p>
    <w:p w:rsidR="00BA36FC" w:rsidRPr="00BA36FC" w:rsidRDefault="00BA36FC" w:rsidP="00BA36FC">
      <w:pPr>
        <w:spacing w:line="480" w:lineRule="auto"/>
        <w:rPr>
          <w:rFonts w:ascii="Times New Roman"/>
          <w:sz w:val="24"/>
          <w:szCs w:val="24"/>
        </w:rPr>
      </w:pPr>
      <w:proofErr w:type="gramStart"/>
      <w:r w:rsidRPr="00BA36FC">
        <w:rPr>
          <w:rFonts w:ascii="Times New Roman"/>
          <w:sz w:val="24"/>
          <w:szCs w:val="24"/>
        </w:rPr>
        <w:t>SECTION 7.</w:t>
      </w:r>
      <w:proofErr w:type="gramEnd"/>
      <w:r w:rsidRPr="00BA36FC">
        <w:rPr>
          <w:rFonts w:ascii="Times New Roman"/>
          <w:sz w:val="24"/>
          <w:szCs w:val="24"/>
        </w:rPr>
        <w:t xml:space="preserve"> Section 4 shall take effect on July 1, 2009.</w:t>
      </w:r>
    </w:p>
    <w:p w:rsidR="006903CE" w:rsidRPr="00BA36FC" w:rsidRDefault="00BA36FC" w:rsidP="00BA36FC">
      <w:pPr>
        <w:spacing w:line="480" w:lineRule="auto"/>
        <w:rPr>
          <w:sz w:val="24"/>
          <w:szCs w:val="24"/>
        </w:rPr>
      </w:pPr>
      <w:proofErr w:type="gramStart"/>
      <w:r w:rsidRPr="00BA36FC">
        <w:rPr>
          <w:rFonts w:ascii="Times New Roman"/>
          <w:sz w:val="24"/>
          <w:szCs w:val="24"/>
        </w:rPr>
        <w:lastRenderedPageBreak/>
        <w:t>SECTION 8.</w:t>
      </w:r>
      <w:proofErr w:type="gramEnd"/>
      <w:r w:rsidRPr="00BA36FC">
        <w:rPr>
          <w:rFonts w:ascii="Times New Roman"/>
          <w:sz w:val="24"/>
          <w:szCs w:val="24"/>
        </w:rPr>
        <w:t xml:space="preserve">  Section 5 shall take effect on October 1, 2012.</w:t>
      </w:r>
    </w:p>
    <w:sectPr w:rsidR="006903CE" w:rsidRPr="00BA36FC" w:rsidSect="006903C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903CE"/>
    <w:rsid w:val="006903CE"/>
    <w:rsid w:val="00BA36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6FC"/>
    <w:rPr>
      <w:rFonts w:ascii="Tahoma" w:hAnsi="Tahoma" w:cs="Tahoma"/>
      <w:sz w:val="16"/>
      <w:szCs w:val="16"/>
    </w:rPr>
  </w:style>
  <w:style w:type="character" w:styleId="LineNumber">
    <w:name w:val="line number"/>
    <w:basedOn w:val="DefaultParagraphFont"/>
    <w:uiPriority w:val="99"/>
    <w:semiHidden/>
    <w:unhideWhenUsed/>
    <w:rsid w:val="00BA36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890</Words>
  <Characters>5074</Characters>
  <Application>Microsoft Office Word</Application>
  <DocSecurity>0</DocSecurity>
  <Lines>42</Lines>
  <Paragraphs>11</Paragraphs>
  <ScaleCrop>false</ScaleCrop>
  <Company>Massachusetts Legislature</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2009-01-12T23:26:00Z</dcterms:created>
  <dcterms:modified xsi:type="dcterms:W3CDTF">2009-01-12T23:26:00Z</dcterms:modified>
</cp:coreProperties>
</file>