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82B6E" w:rsidRDefault="00210D28">
      <w:pPr>
        <w:suppressLineNumbers/>
        <w:spacing w:after="2"/>
        <w:jc w:val="center"/>
      </w:pPr>
      <w:r>
        <w:rPr>
          <w:rFonts w:ascii="Arial"/>
          <w:sz w:val="18"/>
        </w:rPr>
        <w:t>SENATE DOCKET, NO.         FILED ON: 1/2/2009</w:t>
      </w:r>
    </w:p>
    <w:p w:rsidR="00482B6E" w:rsidRDefault="00210D2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10D28">
            <w:pPr>
              <w:suppressLineNumbers/>
              <w:jc w:val="right"/>
              <w:rPr>
                <w:b/>
                <w:sz w:val="28"/>
              </w:rPr>
            </w:pPr>
          </w:p>
        </w:tc>
      </w:tr>
    </w:tbl>
    <w:p w:rsidR="00482B6E" w:rsidRDefault="00210D28">
      <w:pPr>
        <w:suppressLineNumbers/>
        <w:spacing w:before="2" w:after="2"/>
        <w:jc w:val="center"/>
      </w:pPr>
      <w:r>
        <w:rPr>
          <w:rFonts w:ascii="Old English Text MT"/>
          <w:sz w:val="32"/>
        </w:rPr>
        <w:t>The Commonwealth of Massachusetts</w:t>
      </w:r>
    </w:p>
    <w:p w:rsidR="00482B6E" w:rsidRDefault="00210D28">
      <w:pPr>
        <w:suppressLineNumbers/>
        <w:spacing w:after="2"/>
        <w:jc w:val="center"/>
      </w:pPr>
      <w:r>
        <w:rPr>
          <w:rFonts w:ascii="Times New Roman"/>
          <w:b/>
          <w:sz w:val="32"/>
          <w:vertAlign w:val="superscript"/>
        </w:rPr>
        <w:t>_______________</w:t>
      </w:r>
    </w:p>
    <w:p w:rsidR="00482B6E" w:rsidRDefault="00210D28">
      <w:pPr>
        <w:suppressLineNumbers/>
        <w:spacing w:before="2"/>
        <w:jc w:val="center"/>
      </w:pPr>
      <w:r>
        <w:rPr>
          <w:rFonts w:ascii="Times New Roman"/>
          <w:sz w:val="20"/>
        </w:rPr>
        <w:t>PRESENTED BY:</w:t>
      </w:r>
    </w:p>
    <w:p w:rsidR="00482B6E" w:rsidRDefault="00210D28">
      <w:pPr>
        <w:suppressLineNumbers/>
        <w:spacing w:after="2"/>
        <w:jc w:val="center"/>
      </w:pPr>
      <w:r>
        <w:rPr>
          <w:rFonts w:ascii="Times New Roman"/>
          <w:b/>
          <w:sz w:val="24"/>
        </w:rPr>
        <w:t>Moore, Richard (SEN)</w:t>
      </w:r>
    </w:p>
    <w:p w:rsidR="00482B6E" w:rsidRDefault="00210D28">
      <w:pPr>
        <w:suppressLineNumbers/>
        <w:jc w:val="center"/>
      </w:pPr>
      <w:r>
        <w:rPr>
          <w:rFonts w:ascii="Times New Roman"/>
          <w:b/>
          <w:sz w:val="32"/>
          <w:vertAlign w:val="superscript"/>
        </w:rPr>
        <w:t>_______________</w:t>
      </w:r>
    </w:p>
    <w:p w:rsidR="00482B6E" w:rsidRDefault="00210D2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2B6E" w:rsidRDefault="00210D28">
      <w:pPr>
        <w:suppressLineNumbers/>
      </w:pPr>
      <w:r>
        <w:rPr>
          <w:rFonts w:ascii="Times New Roman"/>
          <w:sz w:val="20"/>
        </w:rPr>
        <w:tab/>
        <w:t>The undersigned legislators and/or citizens respectfully petition for the passage of the accompanying bill:</w:t>
      </w:r>
    </w:p>
    <w:p w:rsidR="00482B6E" w:rsidRDefault="00210D28">
      <w:pPr>
        <w:suppressLineNumbers/>
        <w:spacing w:after="2"/>
        <w:jc w:val="center"/>
      </w:pPr>
      <w:r>
        <w:rPr>
          <w:rFonts w:ascii="Times New Roman"/>
          <w:sz w:val="24"/>
        </w:rPr>
        <w:t>An Act Relative to the Hemop</w:t>
      </w:r>
      <w:r>
        <w:rPr>
          <w:rFonts w:ascii="Times New Roman"/>
          <w:sz w:val="24"/>
        </w:rPr>
        <w:t>hilia Advisory Committee</w:t>
      </w:r>
    </w:p>
    <w:p w:rsidR="00482B6E" w:rsidRDefault="00210D28">
      <w:pPr>
        <w:suppressLineNumbers/>
        <w:spacing w:after="2"/>
        <w:jc w:val="center"/>
      </w:pPr>
      <w:r>
        <w:rPr>
          <w:rFonts w:ascii="Times New Roman"/>
          <w:b/>
          <w:sz w:val="32"/>
          <w:vertAlign w:val="superscript"/>
        </w:rPr>
        <w:t>_______________</w:t>
      </w:r>
    </w:p>
    <w:p w:rsidR="00482B6E" w:rsidRDefault="00210D28">
      <w:pPr>
        <w:suppressLineNumbers/>
        <w:jc w:val="center"/>
      </w:pPr>
      <w:r>
        <w:rPr>
          <w:rFonts w:ascii="Times New Roman"/>
          <w:sz w:val="20"/>
        </w:rPr>
        <w:t>PETITION OF:</w:t>
      </w:r>
    </w:p>
    <w:p w:rsidR="00482B6E" w:rsidRDefault="00482B6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Moore, Richard (SEN)</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Lida E. Harkins</w:t>
                </w:r>
              </w:p>
            </w:tc>
            <w:tc>
              <w:tcPr>
                <w:tcW w:w="4500" w:type="dxa"/>
              </w:tcPr>
              <w:p>
                <w:pPr>
                  <w:suppressLineNumbers/>
                  <w:spacing w:after="2"/>
                  <w:rPr>
                    <w:rFonts w:ascii="Times New Roman"/>
                    <w:sz w:val="22"/>
                  </w:rPr>
                </w:pPr>
                <w:r>
                  <w:rPr>
                    <w:rFonts w:ascii="Times New Roman"/>
                    <w:sz w:val="22"/>
                  </w:rPr>
                  <w:t>13th Norfolk</w:t>
                </w:r>
              </w:p>
            </w:tc>
          </w:tr>
        </w:tbl>
      </w:sdtContent>
    </w:sdt>
    <w:p w:rsidR="00482B6E" w:rsidRDefault="00210D28">
      <w:pPr>
        <w:suppressLineNumbers/>
      </w:pPr>
      <w:r>
        <w:br w:type="page"/>
      </w:r>
    </w:p>
    <w:p w:rsidR="00482B6E" w:rsidRDefault="00210D28">
      <w:pPr>
        <w:suppressLineNumbers/>
        <w:spacing w:before="2" w:after="2"/>
        <w:jc w:val="center"/>
      </w:pPr>
      <w:r>
        <w:rPr>
          <w:rFonts w:ascii="Old English Text MT"/>
          <w:sz w:val="32"/>
        </w:rPr>
        <w:lastRenderedPageBreak/>
        <w:t>The Commonwealth of Massachusetts</w:t>
      </w:r>
      <w:r>
        <w:rPr>
          <w:rFonts w:ascii="Old English Text MT"/>
          <w:sz w:val="32"/>
        </w:rPr>
        <w:br/>
      </w:r>
    </w:p>
    <w:p w:rsidR="00482B6E" w:rsidRDefault="00210D28">
      <w:pPr>
        <w:suppressLineNumbers/>
        <w:spacing w:after="2"/>
        <w:jc w:val="center"/>
      </w:pPr>
      <w:r>
        <w:rPr>
          <w:rFonts w:ascii="Times New Roman"/>
          <w:b/>
          <w:sz w:val="24"/>
          <w:vertAlign w:val="superscript"/>
        </w:rPr>
        <w:t>_______________</w:t>
      </w:r>
    </w:p>
    <w:p w:rsidR="00482B6E" w:rsidRDefault="00210D28">
      <w:pPr>
        <w:suppressLineNumbers/>
        <w:spacing w:after="2"/>
        <w:jc w:val="center"/>
      </w:pPr>
      <w:r>
        <w:rPr>
          <w:rFonts w:ascii="Times New Roman"/>
          <w:b/>
          <w:sz w:val="18"/>
        </w:rPr>
        <w:t>In the Year Two Thousand and Nine</w:t>
      </w:r>
    </w:p>
    <w:p w:rsidR="00482B6E" w:rsidRDefault="00210D28">
      <w:pPr>
        <w:suppressLineNumbers/>
        <w:spacing w:after="2"/>
        <w:jc w:val="center"/>
      </w:pPr>
      <w:r>
        <w:rPr>
          <w:rFonts w:ascii="Times New Roman"/>
          <w:b/>
          <w:sz w:val="24"/>
          <w:vertAlign w:val="superscript"/>
        </w:rPr>
        <w:t>_______________</w:t>
      </w:r>
    </w:p>
    <w:p w:rsidR="00482B6E" w:rsidRDefault="00210D28">
      <w:pPr>
        <w:suppressLineNumbers/>
        <w:spacing w:after="2"/>
      </w:pPr>
      <w:r>
        <w:rPr>
          <w:sz w:val="14"/>
        </w:rPr>
        <w:br/>
      </w:r>
      <w:r>
        <w:br/>
      </w:r>
    </w:p>
    <w:p w:rsidR="00482B6E" w:rsidRDefault="00210D28">
      <w:pPr>
        <w:suppressLineNumbers/>
      </w:pPr>
      <w:proofErr w:type="gramStart"/>
      <w:r>
        <w:rPr>
          <w:rFonts w:ascii="Times New Roman"/>
          <w:smallCaps/>
          <w:sz w:val="28"/>
        </w:rPr>
        <w:t>An Act Relative to the Hemophilia Advisory Committee.</w:t>
      </w:r>
      <w:proofErr w:type="gramEnd"/>
      <w:r>
        <w:br/>
      </w:r>
      <w:r>
        <w:br/>
      </w:r>
      <w:r>
        <w:br/>
      </w:r>
    </w:p>
    <w:p w:rsidR="00482B6E" w:rsidRDefault="00210D2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10D28" w:rsidR="00210D28" w:rsidP="00210D28" w:rsidRDefault="00210D28">
      <w:pPr>
        <w:spacing w:line="480" w:lineRule="auto"/>
        <w:rPr>
          <w:rFonts w:ascii="Times New Roman"/>
          <w:sz w:val="24"/>
          <w:szCs w:val="24"/>
        </w:rPr>
      </w:pPr>
      <w:r>
        <w:rPr>
          <w:rFonts w:ascii="Times New Roman"/>
        </w:rPr>
        <w:tab/>
      </w:r>
      <w:proofErr w:type="gramStart"/>
      <w:r w:rsidRPr="00210D28">
        <w:rPr>
          <w:rFonts w:ascii="Times New Roman"/>
          <w:sz w:val="24"/>
          <w:szCs w:val="24"/>
        </w:rPr>
        <w:t>SECTION 1.</w:t>
      </w:r>
      <w:proofErr w:type="gramEnd"/>
      <w:r w:rsidRPr="00210D28">
        <w:rPr>
          <w:rFonts w:ascii="Times New Roman"/>
          <w:sz w:val="24"/>
          <w:szCs w:val="24"/>
        </w:rPr>
        <w:t xml:space="preserve">  Chapter 111 of the General Laws, as appearing in the 2006 Official Edition, is hereby amended by striking sections 6A, 6B, and 6C an inserting in place </w:t>
      </w:r>
      <w:proofErr w:type="spellStart"/>
      <w:r w:rsidRPr="00210D28">
        <w:rPr>
          <w:rFonts w:ascii="Times New Roman"/>
          <w:sz w:val="24"/>
          <w:szCs w:val="24"/>
        </w:rPr>
        <w:t>therof</w:t>
      </w:r>
      <w:proofErr w:type="spellEnd"/>
      <w:r w:rsidRPr="00210D28">
        <w:rPr>
          <w:rFonts w:ascii="Times New Roman"/>
          <w:sz w:val="24"/>
          <w:szCs w:val="24"/>
        </w:rPr>
        <w:t xml:space="preserve"> the following:</w:t>
      </w:r>
    </w:p>
    <w:p w:rsidRPr="00210D28" w:rsidR="00210D28" w:rsidP="00210D28" w:rsidRDefault="00210D28">
      <w:pPr>
        <w:spacing w:line="480" w:lineRule="auto"/>
        <w:rPr>
          <w:rFonts w:ascii="Times New Roman"/>
          <w:sz w:val="24"/>
          <w:szCs w:val="24"/>
        </w:rPr>
      </w:pPr>
      <w:proofErr w:type="gramStart"/>
      <w:r w:rsidRPr="00210D28">
        <w:rPr>
          <w:rFonts w:ascii="Times New Roman"/>
          <w:sz w:val="24"/>
          <w:szCs w:val="24"/>
        </w:rPr>
        <w:t>Section 6A.</w:t>
      </w:r>
      <w:proofErr w:type="gramEnd"/>
      <w:r w:rsidRPr="00210D28">
        <w:rPr>
          <w:rFonts w:ascii="Times New Roman"/>
          <w:sz w:val="24"/>
          <w:szCs w:val="24"/>
        </w:rPr>
        <w:t xml:space="preserve">  Hemophilia Advisory Committee Act</w:t>
      </w:r>
    </w:p>
    <w:p w:rsidRPr="00210D28" w:rsidR="00210D28" w:rsidP="00210D28" w:rsidRDefault="00210D28">
      <w:pPr>
        <w:spacing w:line="480" w:lineRule="auto"/>
        <w:rPr>
          <w:rFonts w:ascii="Times New Roman"/>
          <w:sz w:val="24"/>
          <w:szCs w:val="24"/>
        </w:rPr>
      </w:pPr>
      <w:r w:rsidRPr="00210D28">
        <w:rPr>
          <w:rFonts w:ascii="Times New Roman"/>
          <w:sz w:val="24"/>
          <w:szCs w:val="24"/>
        </w:rPr>
        <w:t>The intent of the general court, through implementation of this act, is to reorganize the hemophilia advisory committee to provide expert advice to the state on health and insurance policies, plans, and programs that impact individuals with hemophilia and other inherited bleeding and clotting disorders.</w:t>
      </w:r>
    </w:p>
    <w:p w:rsidRPr="00210D28" w:rsidR="00210D28" w:rsidP="00210D28" w:rsidRDefault="00210D28">
      <w:pPr>
        <w:spacing w:line="480" w:lineRule="auto"/>
        <w:rPr>
          <w:rFonts w:ascii="Times New Roman"/>
          <w:sz w:val="24"/>
          <w:szCs w:val="24"/>
        </w:rPr>
      </w:pPr>
      <w:r w:rsidRPr="00210D28">
        <w:rPr>
          <w:rFonts w:ascii="Times New Roman"/>
          <w:sz w:val="24"/>
          <w:szCs w:val="24"/>
        </w:rPr>
        <w:t xml:space="preserve">This act may be cited as the hemophilia advisory committee act.  </w:t>
      </w:r>
    </w:p>
    <w:p w:rsidRPr="00210D28" w:rsidR="00210D28" w:rsidP="00210D28" w:rsidRDefault="00210D28">
      <w:pPr>
        <w:spacing w:line="480" w:lineRule="auto"/>
        <w:rPr>
          <w:rFonts w:ascii="Times New Roman"/>
          <w:sz w:val="24"/>
          <w:szCs w:val="24"/>
        </w:rPr>
      </w:pPr>
      <w:proofErr w:type="gramStart"/>
      <w:r w:rsidRPr="00210D28">
        <w:rPr>
          <w:rFonts w:ascii="Times New Roman"/>
          <w:sz w:val="24"/>
          <w:szCs w:val="24"/>
        </w:rPr>
        <w:t>Section 6B.</w:t>
      </w:r>
      <w:proofErr w:type="gramEnd"/>
      <w:r w:rsidRPr="00210D28">
        <w:rPr>
          <w:rFonts w:ascii="Times New Roman"/>
          <w:sz w:val="24"/>
          <w:szCs w:val="24"/>
        </w:rPr>
        <w:t xml:space="preserve">  Hemophilia Advisory Committee</w:t>
      </w:r>
    </w:p>
    <w:p w:rsidRPr="00210D28" w:rsidR="00210D28" w:rsidP="00210D28" w:rsidRDefault="00210D28">
      <w:pPr>
        <w:spacing w:line="480" w:lineRule="auto"/>
        <w:rPr>
          <w:rFonts w:ascii="Times New Roman"/>
          <w:sz w:val="24"/>
          <w:szCs w:val="24"/>
        </w:rPr>
      </w:pPr>
      <w:r w:rsidRPr="00210D28">
        <w:rPr>
          <w:rFonts w:ascii="Times New Roman"/>
          <w:sz w:val="24"/>
          <w:szCs w:val="24"/>
        </w:rPr>
        <w:t xml:space="preserve">The commissioner of public health, in coordination with the commissioner of insurance, shall reorganize the hemophilia advisory committee to review the impact of legislation and administrative actions on preserving the treatment and care of hemophilia and other inherited </w:t>
      </w:r>
      <w:r w:rsidRPr="00210D28">
        <w:rPr>
          <w:rFonts w:ascii="Times New Roman"/>
          <w:sz w:val="24"/>
          <w:szCs w:val="24"/>
        </w:rPr>
        <w:lastRenderedPageBreak/>
        <w:t xml:space="preserve">bleeding and clotting disorders and advise on the establishment of programs for public awareness, reporting and treatment of hemophilia and other inherited bleeding and clotting disorders.  </w:t>
      </w:r>
    </w:p>
    <w:p w:rsidRPr="00210D28" w:rsidR="00210D28" w:rsidP="00210D28" w:rsidRDefault="00210D28">
      <w:pPr>
        <w:spacing w:line="480" w:lineRule="auto"/>
        <w:rPr>
          <w:rFonts w:ascii="Times New Roman"/>
          <w:sz w:val="24"/>
          <w:szCs w:val="24"/>
        </w:rPr>
      </w:pPr>
      <w:r w:rsidRPr="00210D28">
        <w:rPr>
          <w:rFonts w:ascii="Times New Roman"/>
          <w:sz w:val="24"/>
          <w:szCs w:val="24"/>
        </w:rPr>
        <w:t>1)</w:t>
      </w:r>
      <w:r w:rsidRPr="00210D28">
        <w:rPr>
          <w:rFonts w:ascii="Times New Roman"/>
          <w:sz w:val="24"/>
          <w:szCs w:val="24"/>
        </w:rPr>
        <w:tab/>
        <w:t>The hemophilia advisory committee shall advise said commissioners on:</w:t>
      </w:r>
    </w:p>
    <w:p w:rsidRPr="00210D28" w:rsidR="00210D28" w:rsidP="00210D28" w:rsidRDefault="00210D28">
      <w:pPr>
        <w:spacing w:line="480" w:lineRule="auto"/>
        <w:rPr>
          <w:rFonts w:ascii="Times New Roman"/>
          <w:sz w:val="24"/>
          <w:szCs w:val="24"/>
        </w:rPr>
      </w:pPr>
    </w:p>
    <w:p w:rsidRPr="00210D28" w:rsidR="00210D28" w:rsidP="00210D28" w:rsidRDefault="00210D28">
      <w:pPr>
        <w:spacing w:line="480" w:lineRule="auto"/>
        <w:rPr>
          <w:rFonts w:ascii="Times New Roman"/>
          <w:sz w:val="24"/>
          <w:szCs w:val="24"/>
        </w:rPr>
      </w:pPr>
      <w:r w:rsidRPr="00210D28">
        <w:rPr>
          <w:rFonts w:ascii="Times New Roman"/>
          <w:sz w:val="24"/>
          <w:szCs w:val="24"/>
        </w:rPr>
        <w:t>A)</w:t>
      </w:r>
      <w:r w:rsidRPr="00210D28">
        <w:rPr>
          <w:rFonts w:ascii="Times New Roman"/>
          <w:sz w:val="24"/>
          <w:szCs w:val="24"/>
        </w:rPr>
        <w:tab/>
        <w:t>Legislation and administrative changes to policies and programs that are integral to the health and wellness of individuals with hemophilia and other inherited bleeding and clotting disorders;</w:t>
      </w:r>
    </w:p>
    <w:p w:rsidRPr="00210D28" w:rsidR="00210D28" w:rsidP="00210D28" w:rsidRDefault="00210D28">
      <w:pPr>
        <w:spacing w:line="480" w:lineRule="auto"/>
        <w:rPr>
          <w:rFonts w:ascii="Times New Roman"/>
          <w:sz w:val="24"/>
          <w:szCs w:val="24"/>
        </w:rPr>
      </w:pPr>
      <w:r w:rsidRPr="00210D28">
        <w:rPr>
          <w:rFonts w:ascii="Times New Roman"/>
          <w:sz w:val="24"/>
          <w:szCs w:val="24"/>
        </w:rPr>
        <w:t>B)</w:t>
      </w:r>
      <w:r w:rsidRPr="00210D28">
        <w:rPr>
          <w:rFonts w:ascii="Times New Roman"/>
          <w:sz w:val="24"/>
          <w:szCs w:val="24"/>
        </w:rPr>
        <w:tab/>
        <w:t>Coordination with other state agencies and private organizations to advance the development of community-based initiatives to increase awareness of care and treatment for persons living with hemophilia and other inherited bleeding and clotting disorders.  The department of public health may provide such services through cooperative agreements with hemophilia treatment centers, medical facilities, schools, nonprofit organizations serving the bleeding and clotting disorders community, or other appropriate means;</w:t>
      </w:r>
    </w:p>
    <w:p w:rsidRPr="00210D28" w:rsidR="00210D28" w:rsidP="00210D28" w:rsidRDefault="00210D28">
      <w:pPr>
        <w:spacing w:line="480" w:lineRule="auto"/>
        <w:rPr>
          <w:rFonts w:ascii="Times New Roman"/>
          <w:sz w:val="24"/>
          <w:szCs w:val="24"/>
        </w:rPr>
      </w:pPr>
      <w:r w:rsidRPr="00210D28">
        <w:rPr>
          <w:rFonts w:ascii="Times New Roman"/>
          <w:sz w:val="24"/>
          <w:szCs w:val="24"/>
        </w:rPr>
        <w:t>C)</w:t>
      </w:r>
      <w:r w:rsidRPr="00210D28">
        <w:rPr>
          <w:rFonts w:ascii="Times New Roman"/>
          <w:sz w:val="24"/>
          <w:szCs w:val="24"/>
        </w:rPr>
        <w:tab/>
        <w:t>Dissemination of information on initiatives to constituency groups.  The department of public health may also extend assistance to the programs listed in paragraph (B) above in order to facilitate linkages for persons with hemophilia or other bleeding and clotting disorders;</w:t>
      </w:r>
    </w:p>
    <w:p w:rsidRPr="00210D28" w:rsidR="00210D28" w:rsidP="00210D28" w:rsidRDefault="00210D28">
      <w:pPr>
        <w:spacing w:line="480" w:lineRule="auto"/>
        <w:rPr>
          <w:rFonts w:ascii="Times New Roman"/>
          <w:sz w:val="24"/>
          <w:szCs w:val="24"/>
        </w:rPr>
      </w:pPr>
      <w:r w:rsidRPr="00210D28">
        <w:rPr>
          <w:rFonts w:ascii="Times New Roman"/>
          <w:sz w:val="24"/>
          <w:szCs w:val="24"/>
        </w:rPr>
        <w:t>D)</w:t>
      </w:r>
      <w:r w:rsidRPr="00210D28">
        <w:rPr>
          <w:rFonts w:ascii="Times New Roman"/>
          <w:sz w:val="24"/>
          <w:szCs w:val="24"/>
        </w:rPr>
        <w:tab/>
        <w:t>Standards of care and treatment for persons living with hemophilia and other inherited bleeding and clotting disorders, taking into consideration the federal and standards of care guidelines developed by state and national organizations including, but not limited to, the Medical and Scientific Advisory Council of the National Hemophilia Foundation;</w:t>
      </w:r>
    </w:p>
    <w:p w:rsidRPr="00210D28" w:rsidR="00210D28" w:rsidP="00210D28" w:rsidRDefault="00210D28">
      <w:pPr>
        <w:spacing w:line="480" w:lineRule="auto"/>
        <w:rPr>
          <w:rFonts w:ascii="Times New Roman"/>
          <w:sz w:val="24"/>
          <w:szCs w:val="24"/>
        </w:rPr>
      </w:pPr>
      <w:r w:rsidRPr="00210D28">
        <w:rPr>
          <w:rFonts w:ascii="Times New Roman"/>
          <w:sz w:val="24"/>
          <w:szCs w:val="24"/>
        </w:rPr>
        <w:lastRenderedPageBreak/>
        <w:t>E)</w:t>
      </w:r>
      <w:r w:rsidRPr="00210D28">
        <w:rPr>
          <w:rFonts w:ascii="Times New Roman"/>
          <w:sz w:val="24"/>
          <w:szCs w:val="24"/>
        </w:rPr>
        <w:tab/>
        <w:t>Protection and promotion of open access to any and all treatments for hemophilia and other bleeding and clotting disorders consistent with the standards of care set forth in paragraph (D) above;</w:t>
      </w:r>
    </w:p>
    <w:p w:rsidRPr="00210D28" w:rsidR="00210D28" w:rsidP="00210D28" w:rsidRDefault="00210D28">
      <w:pPr>
        <w:spacing w:line="480" w:lineRule="auto"/>
        <w:rPr>
          <w:rFonts w:ascii="Times New Roman"/>
          <w:sz w:val="24"/>
          <w:szCs w:val="24"/>
        </w:rPr>
      </w:pPr>
      <w:r w:rsidRPr="00210D28">
        <w:rPr>
          <w:rFonts w:ascii="Times New Roman"/>
          <w:sz w:val="24"/>
          <w:szCs w:val="24"/>
        </w:rPr>
        <w:t>F)</w:t>
      </w:r>
      <w:r w:rsidRPr="00210D28">
        <w:rPr>
          <w:rFonts w:ascii="Times New Roman"/>
          <w:sz w:val="24"/>
          <w:szCs w:val="24"/>
        </w:rPr>
        <w:tab/>
        <w:t>Assistance to persons living with hemophilia and other inherited bleeding and clotting disorders to access appropriate health insurance coverage, whether said coverage is a private or state sponsored health insurance provider;</w:t>
      </w:r>
    </w:p>
    <w:p w:rsidRPr="00210D28" w:rsidR="00210D28" w:rsidP="00210D28" w:rsidRDefault="00210D28">
      <w:pPr>
        <w:spacing w:line="480" w:lineRule="auto"/>
        <w:rPr>
          <w:rFonts w:ascii="Times New Roman"/>
          <w:sz w:val="24"/>
          <w:szCs w:val="24"/>
        </w:rPr>
      </w:pPr>
      <w:r w:rsidRPr="00210D28">
        <w:rPr>
          <w:rFonts w:ascii="Times New Roman"/>
          <w:sz w:val="24"/>
          <w:szCs w:val="24"/>
        </w:rPr>
        <w:t>G)</w:t>
      </w:r>
      <w:r w:rsidRPr="00210D28">
        <w:rPr>
          <w:rFonts w:ascii="Times New Roman"/>
          <w:sz w:val="24"/>
          <w:szCs w:val="24"/>
        </w:rPr>
        <w:tab/>
        <w:t>Development of and participation in care and treatment programs for persons with hemophilia and other inherited bleeding and clotting disorders, including self-administration, home care, medical and dental procedures, and techniques designed to provide maximum control over bleeding episodes typical in these disorders.</w:t>
      </w:r>
    </w:p>
    <w:p w:rsidRPr="00210D28" w:rsidR="00210D28" w:rsidP="00210D28" w:rsidRDefault="00210D28">
      <w:pPr>
        <w:spacing w:line="480" w:lineRule="auto"/>
        <w:rPr>
          <w:rFonts w:ascii="Times New Roman"/>
          <w:sz w:val="24"/>
          <w:szCs w:val="24"/>
        </w:rPr>
      </w:pPr>
      <w:r w:rsidRPr="00210D28">
        <w:rPr>
          <w:rFonts w:ascii="Times New Roman"/>
          <w:sz w:val="24"/>
          <w:szCs w:val="24"/>
        </w:rPr>
        <w:t>2)</w:t>
      </w:r>
      <w:r w:rsidRPr="00210D28">
        <w:rPr>
          <w:rFonts w:ascii="Times New Roman"/>
          <w:sz w:val="24"/>
          <w:szCs w:val="24"/>
        </w:rPr>
        <w:tab/>
        <w:t>The commissioner of public health, in conjunction with the commissioner of insurance, shall present a report to the governor and the leadership of the general court on or before December 31, 2010 and annually thereafter on the status of care and treatment for persons living with hemophilia and other related bleeding disorders.  Said report shall include how the state assisted in protecting the rights of people living with hemophilia.</w:t>
      </w:r>
    </w:p>
    <w:p w:rsidRPr="00210D28" w:rsidR="00210D28" w:rsidP="00210D28" w:rsidRDefault="00210D28">
      <w:pPr>
        <w:spacing w:line="480" w:lineRule="auto"/>
        <w:rPr>
          <w:rFonts w:ascii="Times New Roman"/>
          <w:sz w:val="24"/>
          <w:szCs w:val="24"/>
        </w:rPr>
      </w:pPr>
      <w:r w:rsidRPr="00210D28">
        <w:rPr>
          <w:rFonts w:ascii="Times New Roman"/>
          <w:sz w:val="24"/>
          <w:szCs w:val="24"/>
        </w:rPr>
        <w:t>3)</w:t>
      </w:r>
      <w:r w:rsidRPr="00210D28">
        <w:rPr>
          <w:rFonts w:ascii="Times New Roman"/>
          <w:sz w:val="24"/>
          <w:szCs w:val="24"/>
        </w:rPr>
        <w:tab/>
        <w:t>The hemophilia advisory committee shall consist of eleven members.  The commissioner of public health and the commissioner of insurance, and/or their designees, shall serve as non-voting members and as the co-chairs of the committee.  The remaining members shall be appointed by the governor and shall include persons who are experienced in the delivery of diagnosis, treatment, care, and support services to individuals with hemophilia or related bleeding disorders.  Said members shall include:</w:t>
      </w:r>
    </w:p>
    <w:p w:rsidRPr="00210D28" w:rsidR="00210D28" w:rsidP="00210D28" w:rsidRDefault="00210D28">
      <w:pPr>
        <w:spacing w:line="480" w:lineRule="auto"/>
        <w:rPr>
          <w:rFonts w:ascii="Times New Roman"/>
          <w:sz w:val="24"/>
          <w:szCs w:val="24"/>
        </w:rPr>
      </w:pPr>
    </w:p>
    <w:p w:rsidRPr="00210D28" w:rsidR="00210D28" w:rsidP="00210D28" w:rsidRDefault="00210D28">
      <w:pPr>
        <w:spacing w:line="480" w:lineRule="auto"/>
        <w:rPr>
          <w:rFonts w:ascii="Times New Roman"/>
          <w:sz w:val="24"/>
          <w:szCs w:val="24"/>
        </w:rPr>
      </w:pPr>
      <w:r w:rsidRPr="00210D28">
        <w:rPr>
          <w:rFonts w:ascii="Times New Roman"/>
          <w:sz w:val="24"/>
          <w:szCs w:val="24"/>
        </w:rPr>
        <w:lastRenderedPageBreak/>
        <w:t>a)</w:t>
      </w:r>
      <w:r w:rsidRPr="00210D28">
        <w:rPr>
          <w:rFonts w:ascii="Times New Roman"/>
          <w:sz w:val="24"/>
          <w:szCs w:val="24"/>
        </w:rPr>
        <w:tab/>
        <w:t>One registered nurse who is licensed, practicing and currently treating individuals with hemophilia or other related bleeding disorders;</w:t>
      </w:r>
    </w:p>
    <w:p w:rsidRPr="00210D28" w:rsidR="00210D28" w:rsidP="00210D28" w:rsidRDefault="00210D28">
      <w:pPr>
        <w:spacing w:line="480" w:lineRule="auto"/>
        <w:rPr>
          <w:rFonts w:ascii="Times New Roman"/>
          <w:sz w:val="24"/>
          <w:szCs w:val="24"/>
        </w:rPr>
      </w:pPr>
      <w:r w:rsidRPr="00210D28">
        <w:rPr>
          <w:rFonts w:ascii="Times New Roman"/>
          <w:sz w:val="24"/>
          <w:szCs w:val="24"/>
        </w:rPr>
        <w:t>b)</w:t>
      </w:r>
      <w:r w:rsidRPr="00210D28">
        <w:rPr>
          <w:rFonts w:ascii="Times New Roman"/>
          <w:sz w:val="24"/>
          <w:szCs w:val="24"/>
        </w:rPr>
        <w:tab/>
        <w:t>One social worker who is licensed, practicing and currently treating individuals with hemophilia or other related bleeding disorders;</w:t>
      </w:r>
    </w:p>
    <w:p w:rsidRPr="00210D28" w:rsidR="00210D28" w:rsidP="00210D28" w:rsidRDefault="00210D28">
      <w:pPr>
        <w:spacing w:line="480" w:lineRule="auto"/>
        <w:rPr>
          <w:rFonts w:ascii="Times New Roman"/>
          <w:sz w:val="24"/>
          <w:szCs w:val="24"/>
        </w:rPr>
      </w:pPr>
      <w:r w:rsidRPr="00210D28">
        <w:rPr>
          <w:rFonts w:ascii="Times New Roman"/>
          <w:sz w:val="24"/>
          <w:szCs w:val="24"/>
        </w:rPr>
        <w:t>c)</w:t>
      </w:r>
      <w:r w:rsidRPr="00210D28">
        <w:rPr>
          <w:rFonts w:ascii="Times New Roman"/>
          <w:sz w:val="24"/>
          <w:szCs w:val="24"/>
        </w:rPr>
        <w:tab/>
        <w:t>One representative of a state based federally-funded hemophilia treatment center;</w:t>
      </w:r>
    </w:p>
    <w:p w:rsidRPr="00210D28" w:rsidR="00210D28" w:rsidP="00210D28" w:rsidRDefault="00210D28">
      <w:pPr>
        <w:spacing w:line="480" w:lineRule="auto"/>
        <w:rPr>
          <w:rFonts w:ascii="Times New Roman"/>
          <w:sz w:val="24"/>
          <w:szCs w:val="24"/>
        </w:rPr>
      </w:pPr>
      <w:r w:rsidRPr="00210D28">
        <w:rPr>
          <w:rFonts w:ascii="Times New Roman"/>
          <w:sz w:val="24"/>
          <w:szCs w:val="24"/>
        </w:rPr>
        <w:t>d)</w:t>
      </w:r>
      <w:r w:rsidRPr="00210D28">
        <w:rPr>
          <w:rFonts w:ascii="Times New Roman"/>
          <w:sz w:val="24"/>
          <w:szCs w:val="24"/>
        </w:rPr>
        <w:tab/>
        <w:t>One representative of an organization established under state law for the purpose of providing health insurance;</w:t>
      </w:r>
    </w:p>
    <w:p w:rsidRPr="00210D28" w:rsidR="00210D28" w:rsidP="00210D28" w:rsidRDefault="00210D28">
      <w:pPr>
        <w:spacing w:line="480" w:lineRule="auto"/>
        <w:rPr>
          <w:rFonts w:ascii="Times New Roman"/>
          <w:sz w:val="24"/>
          <w:szCs w:val="24"/>
        </w:rPr>
      </w:pPr>
      <w:r w:rsidRPr="00210D28">
        <w:rPr>
          <w:rFonts w:ascii="Times New Roman"/>
          <w:sz w:val="24"/>
          <w:szCs w:val="24"/>
        </w:rPr>
        <w:t>e)</w:t>
      </w:r>
      <w:r w:rsidRPr="00210D28">
        <w:rPr>
          <w:rFonts w:ascii="Times New Roman"/>
          <w:sz w:val="24"/>
          <w:szCs w:val="24"/>
        </w:rPr>
        <w:tab/>
        <w:t>One representative of a voluntary health organization who currently services the hemophilia and related bleeding disorders community;</w:t>
      </w:r>
    </w:p>
    <w:p w:rsidRPr="00210D28" w:rsidR="00210D28" w:rsidP="00210D28" w:rsidRDefault="00210D28">
      <w:pPr>
        <w:spacing w:line="480" w:lineRule="auto"/>
        <w:rPr>
          <w:rFonts w:ascii="Times New Roman"/>
          <w:sz w:val="24"/>
          <w:szCs w:val="24"/>
        </w:rPr>
      </w:pPr>
      <w:proofErr w:type="gramStart"/>
      <w:r w:rsidRPr="00210D28">
        <w:rPr>
          <w:rFonts w:ascii="Times New Roman"/>
          <w:sz w:val="24"/>
          <w:szCs w:val="24"/>
        </w:rPr>
        <w:t>f)</w:t>
      </w:r>
      <w:r w:rsidRPr="00210D28">
        <w:rPr>
          <w:rFonts w:ascii="Times New Roman"/>
          <w:sz w:val="24"/>
          <w:szCs w:val="24"/>
        </w:rPr>
        <w:tab/>
        <w:t>One person, or caregiver of a person, who is living with hemophilia;</w:t>
      </w:r>
      <w:proofErr w:type="gramEnd"/>
    </w:p>
    <w:p w:rsidRPr="00210D28" w:rsidR="00210D28" w:rsidP="00210D28" w:rsidRDefault="00210D28">
      <w:pPr>
        <w:spacing w:line="480" w:lineRule="auto"/>
        <w:rPr>
          <w:rFonts w:ascii="Times New Roman"/>
          <w:sz w:val="24"/>
          <w:szCs w:val="24"/>
        </w:rPr>
      </w:pPr>
      <w:proofErr w:type="gramStart"/>
      <w:r w:rsidRPr="00210D28">
        <w:rPr>
          <w:rFonts w:ascii="Times New Roman"/>
          <w:sz w:val="24"/>
          <w:szCs w:val="24"/>
        </w:rPr>
        <w:t>g)</w:t>
      </w:r>
      <w:r w:rsidRPr="00210D28">
        <w:rPr>
          <w:rFonts w:ascii="Times New Roman"/>
          <w:sz w:val="24"/>
          <w:szCs w:val="24"/>
        </w:rPr>
        <w:tab/>
        <w:t>One person, or caregiver of a person, who is living with a bleeding disorder other than hemophilia;</w:t>
      </w:r>
      <w:proofErr w:type="gramEnd"/>
    </w:p>
    <w:p w:rsidRPr="00210D28" w:rsidR="00210D28" w:rsidP="00210D28" w:rsidRDefault="00210D28">
      <w:pPr>
        <w:spacing w:line="480" w:lineRule="auto"/>
        <w:rPr>
          <w:rFonts w:ascii="Times New Roman"/>
          <w:sz w:val="24"/>
          <w:szCs w:val="24"/>
        </w:rPr>
      </w:pPr>
      <w:r w:rsidRPr="00210D28">
        <w:rPr>
          <w:rFonts w:ascii="Times New Roman"/>
          <w:sz w:val="24"/>
          <w:szCs w:val="24"/>
        </w:rPr>
        <w:t>h)</w:t>
      </w:r>
      <w:r w:rsidRPr="00210D28">
        <w:rPr>
          <w:rFonts w:ascii="Times New Roman"/>
          <w:sz w:val="24"/>
          <w:szCs w:val="24"/>
        </w:rPr>
        <w:tab/>
        <w:t>One person, or caregiver of a person, who is living with a clotting disorder, and;</w:t>
      </w:r>
    </w:p>
    <w:p w:rsidRPr="00210D28" w:rsidR="00210D28" w:rsidP="00210D28" w:rsidRDefault="00210D28">
      <w:pPr>
        <w:spacing w:line="480" w:lineRule="auto"/>
        <w:rPr>
          <w:rFonts w:ascii="Times New Roman"/>
          <w:sz w:val="24"/>
          <w:szCs w:val="24"/>
        </w:rPr>
      </w:pPr>
      <w:proofErr w:type="spellStart"/>
      <w:r w:rsidRPr="00210D28">
        <w:rPr>
          <w:rFonts w:ascii="Times New Roman"/>
          <w:sz w:val="24"/>
          <w:szCs w:val="24"/>
        </w:rPr>
        <w:t>i</w:t>
      </w:r>
      <w:proofErr w:type="spellEnd"/>
      <w:r w:rsidRPr="00210D28">
        <w:rPr>
          <w:rFonts w:ascii="Times New Roman"/>
          <w:sz w:val="24"/>
          <w:szCs w:val="24"/>
        </w:rPr>
        <w:t>)</w:t>
      </w:r>
      <w:r w:rsidRPr="00210D28">
        <w:rPr>
          <w:rFonts w:ascii="Times New Roman"/>
          <w:sz w:val="24"/>
          <w:szCs w:val="24"/>
        </w:rPr>
        <w:tab/>
        <w:t>One board-certified physician who is licensed, practicing, and currently treating individuals with hemophilia or other related bleeding disorders.</w:t>
      </w:r>
    </w:p>
    <w:p w:rsidRPr="00210D28" w:rsidR="00210D28" w:rsidP="00210D28" w:rsidRDefault="00210D28">
      <w:pPr>
        <w:spacing w:line="480" w:lineRule="auto"/>
        <w:rPr>
          <w:rFonts w:ascii="Times New Roman"/>
          <w:sz w:val="24"/>
          <w:szCs w:val="24"/>
        </w:rPr>
      </w:pPr>
      <w:r w:rsidRPr="00210D28">
        <w:rPr>
          <w:rFonts w:ascii="Times New Roman"/>
          <w:sz w:val="24"/>
          <w:szCs w:val="24"/>
        </w:rPr>
        <w:t>4)</w:t>
      </w:r>
      <w:r w:rsidRPr="00210D28">
        <w:rPr>
          <w:rFonts w:ascii="Times New Roman"/>
          <w:sz w:val="24"/>
          <w:szCs w:val="24"/>
        </w:rPr>
        <w:tab/>
        <w:t>Members of the committee shall receive no compensation, but may be reimbursed for actual expenses incurred in the carrying of their duties.  A majority of the members shall constitute a quorum at any meeting held by the committee.</w:t>
      </w:r>
    </w:p>
    <w:p w:rsidRPr="00210D28" w:rsidR="00210D28" w:rsidP="00210D28" w:rsidRDefault="00210D28">
      <w:pPr>
        <w:spacing w:line="480" w:lineRule="auto"/>
        <w:rPr>
          <w:rFonts w:ascii="Times New Roman"/>
          <w:sz w:val="24"/>
          <w:szCs w:val="24"/>
        </w:rPr>
      </w:pPr>
      <w:r w:rsidRPr="00210D28">
        <w:rPr>
          <w:rFonts w:ascii="Times New Roman"/>
          <w:sz w:val="24"/>
          <w:szCs w:val="24"/>
        </w:rPr>
        <w:t>Section 6C.  Hemophilia Advisory Committee Rules and Regulations</w:t>
      </w:r>
    </w:p>
    <w:p w:rsidRPr="00210D28" w:rsidR="00210D28" w:rsidP="00210D28" w:rsidRDefault="00210D28">
      <w:pPr>
        <w:spacing w:line="480" w:lineRule="auto"/>
        <w:rPr>
          <w:rFonts w:ascii="Times New Roman"/>
          <w:sz w:val="24"/>
          <w:szCs w:val="24"/>
        </w:rPr>
      </w:pPr>
      <w:r w:rsidRPr="00210D28">
        <w:rPr>
          <w:rFonts w:ascii="Times New Roman"/>
          <w:sz w:val="24"/>
          <w:szCs w:val="24"/>
        </w:rPr>
        <w:lastRenderedPageBreak/>
        <w:t>The department of public health shall promulgate all rules and regulations necessary to effectuate the purposes of this section and sections 6A and 6B of this chapter.</w:t>
      </w:r>
    </w:p>
    <w:p w:rsidRPr="00210D28" w:rsidR="00482B6E" w:rsidP="00210D28" w:rsidRDefault="00210D28">
      <w:pPr>
        <w:spacing w:line="480" w:lineRule="auto"/>
        <w:rPr>
          <w:sz w:val="24"/>
          <w:szCs w:val="24"/>
        </w:rPr>
      </w:pPr>
      <w:proofErr w:type="gramStart"/>
      <w:r w:rsidRPr="00210D28">
        <w:rPr>
          <w:rFonts w:ascii="Times New Roman"/>
          <w:sz w:val="24"/>
          <w:szCs w:val="24"/>
        </w:rPr>
        <w:t>SECTION 2.</w:t>
      </w:r>
      <w:proofErr w:type="gramEnd"/>
      <w:r w:rsidRPr="00210D28">
        <w:rPr>
          <w:rFonts w:ascii="Times New Roman"/>
          <w:sz w:val="24"/>
          <w:szCs w:val="24"/>
        </w:rPr>
        <w:t xml:space="preserve">  The act shall take effect upon its passage.</w:t>
      </w:r>
    </w:p>
    <w:sectPr w:rsidRPr="00210D28" w:rsidR="00482B6E" w:rsidSect="00482B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2B6E"/>
    <w:rsid w:val="00210D28"/>
    <w:rsid w:val="00482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D28"/>
    <w:rPr>
      <w:rFonts w:ascii="Tahoma" w:hAnsi="Tahoma" w:cs="Tahoma"/>
      <w:sz w:val="16"/>
      <w:szCs w:val="16"/>
    </w:rPr>
  </w:style>
  <w:style w:type="character" w:styleId="LineNumber">
    <w:name w:val="line number"/>
    <w:basedOn w:val="DefaultParagraphFont"/>
    <w:uiPriority w:val="99"/>
    <w:semiHidden/>
    <w:unhideWhenUsed/>
    <w:rsid w:val="00210D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994</Words>
  <Characters>5666</Characters>
  <Application>Microsoft Office Word</Application>
  <DocSecurity>0</DocSecurity>
  <Lines>47</Lines>
  <Paragraphs>13</Paragraphs>
  <ScaleCrop>false</ScaleCrop>
  <Company>Massachusetts Legislature</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2009-01-02T19:56:00Z</dcterms:created>
  <dcterms:modified xsi:type="dcterms:W3CDTF">2009-01-02T20:06:00Z</dcterms:modified>
</cp:coreProperties>
</file>