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2B" w:rsidRDefault="00437AB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1/15/2009</w:t>
      </w:r>
    </w:p>
    <w:p w:rsidR="00F76C2B" w:rsidRDefault="00437AB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37AB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76C2B" w:rsidRDefault="00437AB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76C2B" w:rsidRDefault="00437AB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6C2B" w:rsidRDefault="00437AB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76C2B" w:rsidRDefault="00437AB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A. Baddour (BY REQUEST)</w:t>
      </w:r>
    </w:p>
    <w:p w:rsidR="00F76C2B" w:rsidRDefault="00437AB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6C2B" w:rsidRDefault="00437AB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76C2B" w:rsidRDefault="00437AB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76C2B" w:rsidRDefault="00437AB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Psychotro</w:t>
      </w:r>
      <w:r>
        <w:rPr>
          <w:rFonts w:ascii="Times New Roman"/>
          <w:sz w:val="24"/>
        </w:rPr>
        <w:t>pic Medications.</w:t>
      </w:r>
      <w:proofErr w:type="gramEnd"/>
    </w:p>
    <w:p w:rsidR="00F76C2B" w:rsidRDefault="00437AB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6C2B" w:rsidRDefault="00437AB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76C2B" w:rsidRDefault="00F76C2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76C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76C2B" w:rsidRDefault="00437AB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76C2B" w:rsidRDefault="00437AB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76C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76C2B" w:rsidRDefault="00437AB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Sharlene Hemp</w:t>
                </w:r>
              </w:p>
            </w:tc>
            <w:tc>
              <w:tcPr>
                <w:tcW w:w="4500" w:type="dxa"/>
              </w:tcPr>
              <w:p w:rsidR="00F76C2B" w:rsidRDefault="00F76C2B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F76C2B" w:rsidRDefault="00437ABC">
      <w:pPr>
        <w:suppressLineNumbers/>
      </w:pPr>
      <w:r>
        <w:br w:type="page"/>
      </w:r>
    </w:p>
    <w:p w:rsidR="00F76C2B" w:rsidRDefault="00437AB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76C2B" w:rsidRDefault="00437AB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76C2B" w:rsidRDefault="00437AB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76C2B" w:rsidRDefault="00437AB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76C2B" w:rsidRDefault="00437ABC">
      <w:pPr>
        <w:suppressLineNumbers/>
        <w:spacing w:after="2"/>
      </w:pPr>
      <w:r>
        <w:rPr>
          <w:sz w:val="14"/>
        </w:rPr>
        <w:br/>
      </w:r>
      <w:r>
        <w:br/>
      </w:r>
    </w:p>
    <w:p w:rsidR="00F76C2B" w:rsidRDefault="00437AB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Psychotropic Medications.</w:t>
      </w:r>
      <w:proofErr w:type="gramEnd"/>
      <w:r>
        <w:br/>
      </w:r>
      <w:r>
        <w:br/>
      </w:r>
      <w:r>
        <w:br/>
      </w:r>
    </w:p>
    <w:p w:rsidR="00F76C2B" w:rsidRDefault="00437AB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37ABC" w:rsidRPr="00D824D1" w:rsidRDefault="00437ABC" w:rsidP="00437AB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D824D1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D824D1">
        <w:rPr>
          <w:rFonts w:ascii="Times New Roman" w:hAnsi="Times New Roman" w:cs="Times New Roman"/>
          <w:sz w:val="24"/>
          <w:szCs w:val="24"/>
        </w:rPr>
        <w:t>  Chapter 111 of the General Laws, as appearing in the 2006 Official Edition, is hereby amended by inserting after section 72Z the following section:-</w:t>
      </w:r>
    </w:p>
    <w:p w:rsidR="00437ABC" w:rsidRPr="00D824D1" w:rsidRDefault="00437ABC" w:rsidP="00437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24D1">
        <w:rPr>
          <w:rFonts w:ascii="Times New Roman" w:hAnsi="Times New Roman" w:cs="Times New Roman"/>
          <w:sz w:val="24"/>
          <w:szCs w:val="24"/>
        </w:rPr>
        <w:t> </w:t>
      </w:r>
      <w:r w:rsidRPr="00D824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824D1">
        <w:rPr>
          <w:rFonts w:ascii="Times New Roman" w:hAnsi="Times New Roman" w:cs="Times New Roman"/>
          <w:sz w:val="24"/>
          <w:szCs w:val="24"/>
        </w:rPr>
        <w:t>Section 72AA.</w:t>
      </w:r>
      <w:proofErr w:type="gramEnd"/>
      <w:r w:rsidRPr="00D824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7ABC" w:rsidRDefault="00437ABC" w:rsidP="00437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Definitions.</w:t>
      </w:r>
      <w:proofErr w:type="gramEnd"/>
    </w:p>
    <w:p w:rsidR="00437ABC" w:rsidRDefault="00437ABC" w:rsidP="00437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D824D1">
        <w:rPr>
          <w:rFonts w:ascii="Times New Roman" w:hAnsi="Times New Roman" w:cs="Times New Roman"/>
          <w:sz w:val="24"/>
          <w:szCs w:val="24"/>
        </w:rPr>
        <w:t xml:space="preserve"> following </w:t>
      </w:r>
      <w:r>
        <w:rPr>
          <w:rFonts w:ascii="Times New Roman" w:hAnsi="Times New Roman" w:cs="Times New Roman"/>
          <w:sz w:val="24"/>
          <w:szCs w:val="24"/>
        </w:rPr>
        <w:t>definitions shall apply;</w:t>
      </w:r>
    </w:p>
    <w:p w:rsidR="00437ABC" w:rsidRPr="00D824D1" w:rsidRDefault="00437ABC" w:rsidP="00437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24D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bCs/>
          <w:sz w:val="24"/>
          <w:szCs w:val="24"/>
        </w:rPr>
        <w:t>psychotropic medication”</w:t>
      </w:r>
      <w:r w:rsidRPr="00D824D1">
        <w:rPr>
          <w:rFonts w:ascii="Times New Roman" w:hAnsi="Times New Roman" w:cs="Times New Roman"/>
          <w:sz w:val="24"/>
          <w:szCs w:val="24"/>
        </w:rPr>
        <w:t xml:space="preserve"> is a </w:t>
      </w:r>
      <w:hyperlink r:id="rId4" w:tooltip="Chemical substance" w:history="1">
        <w:r w:rsidRPr="00D824D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chemical substance</w:t>
        </w:r>
      </w:hyperlink>
      <w:r w:rsidRPr="00D824D1">
        <w:rPr>
          <w:rFonts w:ascii="Times New Roman" w:hAnsi="Times New Roman" w:cs="Times New Roman"/>
          <w:sz w:val="24"/>
          <w:szCs w:val="24"/>
        </w:rPr>
        <w:t xml:space="preserve"> that acts primarily upon the </w:t>
      </w:r>
      <w:hyperlink r:id="rId5" w:tooltip="Central nervous system" w:history="1">
        <w:r w:rsidRPr="00D824D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central nervous system</w:t>
        </w:r>
      </w:hyperlink>
      <w:r w:rsidRPr="00D824D1">
        <w:rPr>
          <w:rFonts w:ascii="Times New Roman" w:hAnsi="Times New Roman" w:cs="Times New Roman"/>
          <w:sz w:val="24"/>
          <w:szCs w:val="24"/>
        </w:rPr>
        <w:t xml:space="preserve"> where it alters </w:t>
      </w:r>
      <w:hyperlink r:id="rId6" w:tooltip="Brain" w:history="1">
        <w:r w:rsidRPr="00D824D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brain</w:t>
        </w:r>
      </w:hyperlink>
      <w:r w:rsidRPr="00D824D1">
        <w:rPr>
          <w:rFonts w:ascii="Times New Roman" w:hAnsi="Times New Roman" w:cs="Times New Roman"/>
          <w:sz w:val="24"/>
          <w:szCs w:val="24"/>
        </w:rPr>
        <w:t xml:space="preserve"> function, resulting in temporary changes in </w:t>
      </w:r>
      <w:hyperlink r:id="rId7" w:tooltip="Perception" w:history="1">
        <w:r w:rsidRPr="00D824D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perception</w:t>
        </w:r>
      </w:hyperlink>
      <w:r w:rsidRPr="00D824D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ooltip="Mood (psychology)" w:history="1">
        <w:r w:rsidRPr="00D824D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mood</w:t>
        </w:r>
      </w:hyperlink>
      <w:r w:rsidRPr="00D824D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ooltip="Consciousness" w:history="1">
        <w:r w:rsidRPr="00D824D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consciousness</w:t>
        </w:r>
      </w:hyperlink>
      <w:r w:rsidRPr="00D824D1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behavior;</w:t>
      </w:r>
    </w:p>
    <w:p w:rsidR="00437ABC" w:rsidRPr="00D824D1" w:rsidRDefault="00437ABC" w:rsidP="00437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4D1">
        <w:rPr>
          <w:rFonts w:ascii="Times New Roman" w:hAnsi="Times New Roman" w:cs="Times New Roman"/>
          <w:sz w:val="24"/>
          <w:szCs w:val="24"/>
        </w:rPr>
        <w:t>Every resident in a nursing home, rest home, or other long term care facility that is prescribed psychotropic medications, shall have the facility in which they reside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24D1">
        <w:rPr>
          <w:rFonts w:ascii="Times New Roman" w:hAnsi="Times New Roman" w:cs="Times New Roman"/>
          <w:sz w:val="24"/>
          <w:szCs w:val="24"/>
        </w:rPr>
        <w:t xml:space="preserve"> as well as the prescribing physician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24D1">
        <w:rPr>
          <w:rFonts w:ascii="Times New Roman" w:hAnsi="Times New Roman" w:cs="Times New Roman"/>
          <w:sz w:val="24"/>
          <w:szCs w:val="24"/>
        </w:rPr>
        <w:t xml:space="preserve"> first obtain informed consent from the resident, the </w:t>
      </w:r>
      <w:proofErr w:type="spellStart"/>
      <w:r w:rsidRPr="00D824D1">
        <w:rPr>
          <w:rFonts w:ascii="Times New Roman" w:hAnsi="Times New Roman" w:cs="Times New Roman"/>
          <w:sz w:val="24"/>
          <w:szCs w:val="24"/>
        </w:rPr>
        <w:t>resident’s</w:t>
      </w:r>
      <w:proofErr w:type="spellEnd"/>
      <w:r w:rsidRPr="00D824D1">
        <w:rPr>
          <w:rFonts w:ascii="Times New Roman" w:hAnsi="Times New Roman" w:cs="Times New Roman"/>
          <w:sz w:val="24"/>
          <w:szCs w:val="24"/>
        </w:rPr>
        <w:t xml:space="preserve"> health care proxy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24D1">
        <w:rPr>
          <w:rFonts w:ascii="Times New Roman" w:hAnsi="Times New Roman" w:cs="Times New Roman"/>
          <w:sz w:val="24"/>
          <w:szCs w:val="24"/>
        </w:rPr>
        <w:t xml:space="preserve"> and a court appointed Rogers guardian.  </w:t>
      </w:r>
    </w:p>
    <w:p w:rsidR="00437ABC" w:rsidRPr="00D824D1" w:rsidRDefault="00437ABC" w:rsidP="00437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24D1">
        <w:rPr>
          <w:rFonts w:ascii="Times New Roman" w:hAnsi="Times New Roman" w:cs="Times New Roman"/>
          <w:sz w:val="24"/>
          <w:szCs w:val="24"/>
        </w:rPr>
        <w:t>The facility shall then keep on record a written consent form between the resident and the prescribing physician when prescribing psychotropic medications.</w:t>
      </w:r>
    </w:p>
    <w:p w:rsidR="00F76C2B" w:rsidRPr="00437ABC" w:rsidRDefault="00437ABC" w:rsidP="00437AB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D824D1">
        <w:rPr>
          <w:rFonts w:ascii="Times New Roman" w:hAnsi="Times New Roman" w:cs="Times New Roman"/>
          <w:sz w:val="24"/>
          <w:szCs w:val="24"/>
        </w:rPr>
        <w:t xml:space="preserve"> secretary of elder affairs, shall promulgate further regulations to promote and protect the interests and well being of residents in nursing homes, rest homes, and long-term care facilities, </w:t>
      </w:r>
      <w:r w:rsidRPr="00D824D1">
        <w:rPr>
          <w:rFonts w:ascii="Times New Roman" w:hAnsi="Times New Roman" w:cs="Times New Roman"/>
          <w:sz w:val="24"/>
          <w:szCs w:val="24"/>
        </w:rPr>
        <w:lastRenderedPageBreak/>
        <w:t xml:space="preserve">including but not limited to timely notification to the </w:t>
      </w:r>
      <w:r w:rsidRPr="00D824D1">
        <w:rPr>
          <w:rFonts w:ascii="Times New Roman" w:hAnsi="Times New Roman" w:cs="Times New Roman"/>
          <w:color w:val="000000"/>
          <w:sz w:val="24"/>
          <w:szCs w:val="24"/>
        </w:rPr>
        <w:t xml:space="preserve">resident and designated family member or legal representative of </w:t>
      </w:r>
      <w:r w:rsidRPr="00D824D1">
        <w:rPr>
          <w:rFonts w:ascii="Times New Roman" w:hAnsi="Times New Roman" w:cs="Times New Roman"/>
          <w:sz w:val="24"/>
          <w:szCs w:val="24"/>
        </w:rPr>
        <w:t>relevant changes in resident</w:t>
      </w:r>
      <w:r w:rsidRPr="0007681A">
        <w:rPr>
          <w:rFonts w:ascii="Times New Roman" w:hAnsi="Times New Roman"/>
          <w:sz w:val="24"/>
          <w:szCs w:val="24"/>
        </w:rPr>
        <w:t xml:space="preserve"> care, posting of care and communication standards</w:t>
      </w:r>
      <w:r w:rsidRPr="0007681A">
        <w:rPr>
          <w:rFonts w:ascii="Times New Roman" w:hAnsi="Times New Roman"/>
          <w:color w:val="000000"/>
          <w:sz w:val="24"/>
          <w:szCs w:val="24"/>
        </w:rPr>
        <w:t xml:space="preserve"> in a clear and conspicuous manner</w:t>
      </w:r>
      <w:r w:rsidRPr="0007681A">
        <w:rPr>
          <w:rFonts w:ascii="Times New Roman" w:hAnsi="Times New Roman"/>
          <w:sz w:val="24"/>
          <w:szCs w:val="24"/>
        </w:rPr>
        <w:t xml:space="preserve">, and process for distributing a copy of all applicable rules and regulations to the </w:t>
      </w:r>
      <w:r w:rsidRPr="0007681A">
        <w:rPr>
          <w:rFonts w:ascii="Times New Roman" w:hAnsi="Times New Roman"/>
          <w:color w:val="000000"/>
          <w:sz w:val="24"/>
          <w:szCs w:val="24"/>
        </w:rPr>
        <w:t>resident, designated family member or legal representative</w:t>
      </w:r>
      <w:r w:rsidRPr="0007681A">
        <w:rPr>
          <w:rFonts w:ascii="Times New Roman" w:hAnsi="Times New Roman"/>
          <w:sz w:val="24"/>
          <w:szCs w:val="24"/>
        </w:rPr>
        <w:t xml:space="preserve"> including a written acknowledgment of receipt.</w:t>
      </w:r>
    </w:p>
    <w:sectPr w:rsidR="00F76C2B" w:rsidRPr="00437ABC" w:rsidSect="00F76C2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6C2B"/>
    <w:rsid w:val="00437ABC"/>
    <w:rsid w:val="00F7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B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37ABC"/>
  </w:style>
  <w:style w:type="character" w:styleId="Hyperlink">
    <w:name w:val="Hyperlink"/>
    <w:basedOn w:val="DefaultParagraphFont"/>
    <w:uiPriority w:val="99"/>
    <w:semiHidden/>
    <w:unhideWhenUsed/>
    <w:rsid w:val="00437A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Mood_(psychology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Percep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Bra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.wikipedia.org/wiki/Central_nervous_syste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n.wikipedia.org/wiki/Chemical_substance" TargetMode="External"/><Relationship Id="rId9" Type="http://schemas.openxmlformats.org/officeDocument/2006/relationships/hyperlink" Target="http://en.wikipedia.org/wiki/Conscious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2462</Characters>
  <Application>Microsoft Office Word</Application>
  <DocSecurity>0</DocSecurity>
  <Lines>20</Lines>
  <Paragraphs>5</Paragraphs>
  <ScaleCrop>false</ScaleCrop>
  <Company>Massachusetts Legislature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2009-01-16T00:58:00Z</dcterms:created>
  <dcterms:modified xsi:type="dcterms:W3CDTF">2009-01-16T00:59:00Z</dcterms:modified>
</cp:coreProperties>
</file>