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DC2" w:rsidRDefault="006A0AF5">
      <w:pPr>
        <w:suppressLineNumbers/>
        <w:spacing w:after="2"/>
        <w:jc w:val="center"/>
      </w:pPr>
      <w:r>
        <w:rPr>
          <w:rFonts w:ascii="Arial"/>
          <w:sz w:val="18"/>
        </w:rPr>
        <w:t>SENATE DOCKET, NO.         FILED ON: 1/13/2009</w:t>
      </w:r>
    </w:p>
    <w:p w:rsidR="00457DC2" w:rsidRDefault="006A0AF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6B571D" w:rsidP="00DB534B">
            <w:pPr>
              <w:suppressLineNumbers/>
              <w:jc w:val="right"/>
              <w:rPr>
                <w:b/>
                <w:sz w:val="28"/>
              </w:rPr>
            </w:pPr>
          </w:p>
        </w:tc>
      </w:tr>
    </w:tbl>
    <w:p w:rsidR="00457DC2" w:rsidRDefault="006A0AF5">
      <w:pPr>
        <w:suppressLineNumbers/>
        <w:spacing w:before="2" w:after="2"/>
        <w:jc w:val="center"/>
      </w:pPr>
      <w:r>
        <w:rPr>
          <w:rFonts w:ascii="Old English Text MT"/>
          <w:sz w:val="32"/>
        </w:rPr>
        <w:t>The Commonwealth of Massachusetts</w:t>
      </w:r>
    </w:p>
    <w:p w:rsidR="00457DC2" w:rsidRDefault="006A0AF5">
      <w:pPr>
        <w:suppressLineNumbers/>
        <w:spacing w:after="2"/>
        <w:jc w:val="center"/>
      </w:pPr>
      <w:r>
        <w:rPr>
          <w:rFonts w:ascii="Times New Roman"/>
          <w:b/>
          <w:sz w:val="32"/>
          <w:vertAlign w:val="superscript"/>
        </w:rPr>
        <w:t>_______________</w:t>
      </w:r>
    </w:p>
    <w:p w:rsidR="00457DC2" w:rsidRDefault="006A0AF5">
      <w:pPr>
        <w:suppressLineNumbers/>
        <w:spacing w:before="2"/>
        <w:jc w:val="center"/>
      </w:pPr>
      <w:r>
        <w:rPr>
          <w:rFonts w:ascii="Times New Roman"/>
          <w:sz w:val="20"/>
        </w:rPr>
        <w:t>PRESENTED BY:</w:t>
      </w:r>
    </w:p>
    <w:p w:rsidR="00457DC2" w:rsidRDefault="006A0AF5">
      <w:pPr>
        <w:suppressLineNumbers/>
        <w:spacing w:after="2"/>
        <w:jc w:val="center"/>
      </w:pPr>
      <w:r>
        <w:rPr>
          <w:rFonts w:ascii="Times New Roman"/>
          <w:b/>
          <w:sz w:val="24"/>
        </w:rPr>
        <w:t>Steven C. Panagiotakos</w:t>
      </w:r>
    </w:p>
    <w:p w:rsidR="00457DC2" w:rsidRDefault="006A0AF5">
      <w:pPr>
        <w:suppressLineNumbers/>
        <w:jc w:val="center"/>
      </w:pPr>
      <w:r>
        <w:rPr>
          <w:rFonts w:ascii="Times New Roman"/>
          <w:b/>
          <w:sz w:val="32"/>
          <w:vertAlign w:val="superscript"/>
        </w:rPr>
        <w:t>_______________</w:t>
      </w:r>
    </w:p>
    <w:p w:rsidR="00457DC2" w:rsidRDefault="006A0AF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57DC2" w:rsidRDefault="006A0AF5">
      <w:pPr>
        <w:suppressLineNumbers/>
      </w:pPr>
      <w:r>
        <w:rPr>
          <w:rFonts w:ascii="Times New Roman"/>
          <w:sz w:val="20"/>
        </w:rPr>
        <w:tab/>
        <w:t>The undersigned legislators and/or citizens respectfully petition for the passage of the accompanying bill:</w:t>
      </w:r>
    </w:p>
    <w:p w:rsidR="00457DC2" w:rsidRDefault="006A0AF5">
      <w:pPr>
        <w:suppressLineNumbers/>
        <w:spacing w:after="2"/>
        <w:jc w:val="center"/>
      </w:pPr>
      <w:proofErr w:type="gramStart"/>
      <w:r>
        <w:rPr>
          <w:rFonts w:ascii="Times New Roman"/>
          <w:sz w:val="24"/>
        </w:rPr>
        <w:t>An Act promoting consumer choice and competition for cable service.</w:t>
      </w:r>
      <w:proofErr w:type="gramEnd"/>
    </w:p>
    <w:p w:rsidR="00457DC2" w:rsidRDefault="006A0AF5">
      <w:pPr>
        <w:suppressLineNumbers/>
        <w:spacing w:after="2"/>
        <w:jc w:val="center"/>
      </w:pPr>
      <w:r>
        <w:rPr>
          <w:rFonts w:ascii="Times New Roman"/>
          <w:b/>
          <w:sz w:val="32"/>
          <w:vertAlign w:val="superscript"/>
        </w:rPr>
        <w:t>_______________</w:t>
      </w:r>
    </w:p>
    <w:p w:rsidR="00457DC2" w:rsidRDefault="006A0AF5">
      <w:pPr>
        <w:suppressLineNumbers/>
        <w:jc w:val="center"/>
      </w:pPr>
      <w:r>
        <w:rPr>
          <w:rFonts w:ascii="Times New Roman"/>
          <w:sz w:val="20"/>
        </w:rPr>
        <w:t>PETITION OF:</w:t>
      </w:r>
    </w:p>
    <w:p w:rsidR="00457DC2" w:rsidRDefault="00457DC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57DC2">
            <w:tc>
              <w:tcPr>
                <w:tcW w:w="4500" w:type="dxa"/>
                <w:tcBorders>
                  <w:top w:val="nil"/>
                  <w:bottom w:val="single" w:sz="4" w:space="0" w:color="auto"/>
                  <w:right w:val="single" w:sz="4" w:space="0" w:color="auto"/>
                </w:tcBorders>
              </w:tcPr>
              <w:p w:rsidR="00457DC2" w:rsidRDefault="006A0AF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57DC2" w:rsidRDefault="006A0AF5">
                <w:pPr>
                  <w:suppressLineNumbers/>
                  <w:spacing w:after="2"/>
                  <w:rPr>
                    <w:smallCaps/>
                  </w:rPr>
                </w:pPr>
                <w:r>
                  <w:rPr>
                    <w:rFonts w:ascii="Times New Roman"/>
                    <w:smallCaps/>
                    <w:sz w:val="24"/>
                  </w:rPr>
                  <w:t>District/Address:</w:t>
                </w:r>
              </w:p>
            </w:tc>
          </w:tr>
          <w:tr w:rsidR="00457DC2">
            <w:tc>
              <w:tcPr>
                <w:tcW w:w="4500" w:type="dxa"/>
              </w:tcPr>
              <w:p w:rsidR="00457DC2" w:rsidRDefault="006A0AF5">
                <w:pPr>
                  <w:suppressLineNumbers/>
                  <w:spacing w:after="2"/>
                  <w:rPr>
                    <w:rFonts w:ascii="Times New Roman"/>
                  </w:rPr>
                </w:pPr>
                <w:r>
                  <w:rPr>
                    <w:rFonts w:ascii="Times New Roman"/>
                  </w:rPr>
                  <w:t>Steven C. Panagiotakos</w:t>
                </w:r>
              </w:p>
            </w:tc>
            <w:tc>
              <w:tcPr>
                <w:tcW w:w="4500" w:type="dxa"/>
              </w:tcPr>
              <w:p w:rsidR="00457DC2" w:rsidRDefault="006A0AF5">
                <w:pPr>
                  <w:suppressLineNumbers/>
                  <w:spacing w:after="2"/>
                  <w:rPr>
                    <w:rFonts w:ascii="Times New Roman"/>
                  </w:rPr>
                </w:pPr>
                <w:r>
                  <w:rPr>
                    <w:rFonts w:ascii="Times New Roman"/>
                  </w:rPr>
                  <w:t xml:space="preserve">First </w:t>
                </w:r>
                <w:proofErr w:type="spellStart"/>
                <w:r>
                  <w:rPr>
                    <w:rFonts w:ascii="Times New Roman"/>
                  </w:rPr>
                  <w:t>Middlsex</w:t>
                </w:r>
                <w:proofErr w:type="spellEnd"/>
              </w:p>
            </w:tc>
          </w:tr>
        </w:tbl>
      </w:sdtContent>
    </w:sdt>
    <w:p w:rsidR="00457DC2" w:rsidRDefault="006A0AF5">
      <w:pPr>
        <w:suppressLineNumbers/>
      </w:pPr>
      <w:r>
        <w:br w:type="page"/>
      </w:r>
    </w:p>
    <w:p w:rsidR="00457DC2" w:rsidRDefault="006A0AF5">
      <w:pPr>
        <w:suppressLineNumbers/>
        <w:jc w:val="center"/>
      </w:pPr>
      <w:r>
        <w:rPr>
          <w:rFonts w:ascii="Times New Roman"/>
          <w:sz w:val="24"/>
        </w:rPr>
        <w:lastRenderedPageBreak/>
        <w:t>[SIMILAR MATTER FILED IN PREVIOUS SESSION</w:t>
      </w:r>
      <w:r>
        <w:rPr>
          <w:rFonts w:ascii="Times New Roman"/>
          <w:sz w:val="24"/>
        </w:rPr>
        <w:br/>
        <w:t>SEE SENATE, NO. S01975 OF 2007-2008.]</w:t>
      </w:r>
    </w:p>
    <w:p w:rsidR="00457DC2" w:rsidRDefault="006A0AF5">
      <w:pPr>
        <w:suppressLineNumbers/>
        <w:spacing w:before="2" w:after="2"/>
        <w:jc w:val="center"/>
      </w:pPr>
      <w:r>
        <w:rPr>
          <w:rFonts w:ascii="Old English Text MT"/>
          <w:sz w:val="32"/>
        </w:rPr>
        <w:t>The Commonwealth of Massachusetts</w:t>
      </w:r>
      <w:r>
        <w:rPr>
          <w:rFonts w:ascii="Old English Text MT"/>
          <w:sz w:val="32"/>
        </w:rPr>
        <w:br/>
      </w:r>
    </w:p>
    <w:p w:rsidR="00457DC2" w:rsidRDefault="006A0AF5">
      <w:pPr>
        <w:suppressLineNumbers/>
        <w:spacing w:after="2"/>
        <w:jc w:val="center"/>
      </w:pPr>
      <w:r>
        <w:rPr>
          <w:rFonts w:ascii="Times New Roman"/>
          <w:b/>
          <w:sz w:val="24"/>
          <w:vertAlign w:val="superscript"/>
        </w:rPr>
        <w:t>_______________</w:t>
      </w:r>
    </w:p>
    <w:p w:rsidR="00457DC2" w:rsidRDefault="006A0AF5">
      <w:pPr>
        <w:suppressLineNumbers/>
        <w:spacing w:after="2"/>
        <w:jc w:val="center"/>
      </w:pPr>
      <w:r>
        <w:rPr>
          <w:rFonts w:ascii="Times New Roman"/>
          <w:b/>
          <w:sz w:val="18"/>
        </w:rPr>
        <w:t>In the Year Two Thousand and Nine</w:t>
      </w:r>
    </w:p>
    <w:p w:rsidR="00457DC2" w:rsidRDefault="006A0AF5">
      <w:pPr>
        <w:suppressLineNumbers/>
        <w:spacing w:after="2"/>
        <w:jc w:val="center"/>
      </w:pPr>
      <w:r>
        <w:rPr>
          <w:rFonts w:ascii="Times New Roman"/>
          <w:b/>
          <w:sz w:val="24"/>
          <w:vertAlign w:val="superscript"/>
        </w:rPr>
        <w:t>_______________</w:t>
      </w:r>
    </w:p>
    <w:p w:rsidR="00457DC2" w:rsidRDefault="006A0AF5">
      <w:pPr>
        <w:suppressLineNumbers/>
        <w:spacing w:after="2"/>
      </w:pPr>
      <w:r>
        <w:rPr>
          <w:sz w:val="14"/>
        </w:rPr>
        <w:br/>
      </w:r>
      <w:r>
        <w:br/>
      </w:r>
    </w:p>
    <w:p w:rsidR="00457DC2" w:rsidRDefault="006A0AF5">
      <w:pPr>
        <w:suppressLineNumbers/>
      </w:pPr>
      <w:proofErr w:type="gramStart"/>
      <w:r>
        <w:rPr>
          <w:rFonts w:ascii="Times New Roman"/>
          <w:smallCaps/>
          <w:sz w:val="28"/>
        </w:rPr>
        <w:t>An Act promoting consumer choice and competition for cable service.</w:t>
      </w:r>
      <w:proofErr w:type="gramEnd"/>
      <w:r>
        <w:br/>
      </w:r>
      <w:r>
        <w:br/>
      </w:r>
      <w:r>
        <w:br/>
      </w:r>
    </w:p>
    <w:p w:rsidR="00457DC2" w:rsidRDefault="006A0AF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A0AF5" w:rsidRPr="00322933" w:rsidRDefault="006A0AF5" w:rsidP="006A0AF5">
      <w:pPr>
        <w:pStyle w:val="NormalWeb"/>
      </w:pPr>
      <w:proofErr w:type="gramStart"/>
      <w:r w:rsidRPr="00322933">
        <w:t>SECTION 1.</w:t>
      </w:r>
      <w:proofErr w:type="gramEnd"/>
      <w:r w:rsidRPr="00322933">
        <w:t xml:space="preserve"> </w:t>
      </w:r>
      <w:proofErr w:type="gramStart"/>
      <w:r w:rsidRPr="00322933">
        <w:t>Findings.</w:t>
      </w:r>
      <w:proofErr w:type="gramEnd"/>
      <w:r w:rsidRPr="00322933">
        <w:t xml:space="preserve"> </w:t>
      </w:r>
    </w:p>
    <w:p w:rsidR="006A0AF5" w:rsidRPr="00322933" w:rsidRDefault="006A0AF5" w:rsidP="006A0AF5">
      <w:pPr>
        <w:pStyle w:val="NormalWeb"/>
        <w:jc w:val="both"/>
      </w:pPr>
      <w:r w:rsidRPr="00322933">
        <w:tab/>
        <w:t xml:space="preserve">Whereas </w:t>
      </w:r>
      <w:smartTag w:uri="urn:schemas-microsoft-com:office:smarttags" w:element="State">
        <w:smartTag w:uri="urn:schemas-microsoft-com:office:smarttags" w:element="place">
          <w:r w:rsidRPr="00322933">
            <w:t>Massachusetts</w:t>
          </w:r>
        </w:smartTag>
      </w:smartTag>
      <w:r w:rsidRPr="00322933">
        <w:t xml:space="preserve">’ consumers benefit from expanded choice and competition for cable television services, and </w:t>
      </w:r>
    </w:p>
    <w:p w:rsidR="006A0AF5" w:rsidRPr="00322933" w:rsidRDefault="006A0AF5" w:rsidP="006A0AF5">
      <w:pPr>
        <w:pStyle w:val="NormalWeb"/>
        <w:jc w:val="both"/>
      </w:pPr>
      <w:r w:rsidRPr="00322933">
        <w:tab/>
        <w:t>Whereas, increased investment and the potential for competition in the cable service market through the provisioning of new communications services and deployment of advanced communications infrastructure, including fiber optic technologies, further enhances economic opportunities, smart growth, the delivery of health care services, improved public safety, education and human services and the overall health and well being of the residents of the Commonwealth, and</w:t>
      </w:r>
    </w:p>
    <w:p w:rsidR="006A0AF5" w:rsidRPr="00322933" w:rsidRDefault="006A0AF5" w:rsidP="006A0AF5">
      <w:pPr>
        <w:pStyle w:val="NormalWeb"/>
        <w:jc w:val="both"/>
      </w:pPr>
      <w:r w:rsidRPr="00322933">
        <w:tab/>
        <w:t xml:space="preserve">Whereas, modifying existing cable service franchising laws through the enactment of new standards and procedures that provide consumers with expedited access to a competitive facilities-based cable market is warranted in this state, </w:t>
      </w:r>
    </w:p>
    <w:p w:rsidR="006A0AF5" w:rsidRPr="00322933" w:rsidRDefault="006A0AF5" w:rsidP="006A0AF5">
      <w:pPr>
        <w:pStyle w:val="NormalWeb"/>
        <w:jc w:val="both"/>
      </w:pPr>
      <w:r w:rsidRPr="00322933">
        <w:tab/>
        <w:t>The General Court finds that a local franchising process that speeds innovation, technology deployment, and competition while sustaining local programming via public, education and government channels through a predictable set of consumer-supported fees is in the public interest.</w:t>
      </w:r>
    </w:p>
    <w:p w:rsidR="006A0AF5" w:rsidRPr="00322933" w:rsidRDefault="006A0AF5" w:rsidP="006A0AF5">
      <w:pPr>
        <w:pStyle w:val="NormalWeb"/>
      </w:pPr>
      <w:proofErr w:type="gramStart"/>
      <w:r w:rsidRPr="00322933">
        <w:t>SECTION 2.</w:t>
      </w:r>
      <w:proofErr w:type="gramEnd"/>
      <w:r w:rsidRPr="00322933">
        <w:t xml:space="preserve"> Chapter 166A is hereby amended in section 1, as appearing in the 2006 Official Edition, by inserting the following definition:</w:t>
      </w:r>
    </w:p>
    <w:p w:rsidR="006A0AF5" w:rsidRDefault="006A0AF5" w:rsidP="006A0AF5">
      <w:pPr>
        <w:jc w:val="both"/>
      </w:pPr>
      <w:proofErr w:type="gramStart"/>
      <w:r w:rsidRPr="00322933">
        <w:lastRenderedPageBreak/>
        <w:t>“Incumbent cable operator.”</w:t>
      </w:r>
      <w:proofErr w:type="gramEnd"/>
      <w:r w:rsidRPr="00322933">
        <w:t xml:space="preserve">  </w:t>
      </w:r>
      <w:proofErr w:type="gramStart"/>
      <w:r w:rsidRPr="00322933">
        <w:t>The cable operator serving the largest number of cable subscribers in a particular municipal franchise area on the effective date of this chapter.</w:t>
      </w:r>
      <w:proofErr w:type="gramEnd"/>
    </w:p>
    <w:p w:rsidR="006A0AF5" w:rsidRPr="00322933" w:rsidRDefault="006A0AF5" w:rsidP="006A0AF5">
      <w:pPr>
        <w:pStyle w:val="NormalWeb"/>
      </w:pPr>
      <w:proofErr w:type="gramStart"/>
      <w:r w:rsidRPr="00322933">
        <w:t>SECTION 3.</w:t>
      </w:r>
      <w:proofErr w:type="gramEnd"/>
      <w:r w:rsidRPr="00322933">
        <w:t xml:space="preserve">  Section 5 of said chapter 166A, as so appearing, is hereby amended by inserting after by inserting after the words  "shall agree to the following", in the first sentence, the following words:- “unless otherwise authorized by an agreement with an issuing authority.”</w:t>
      </w:r>
    </w:p>
    <w:p w:rsidR="006A0AF5" w:rsidRPr="00322933" w:rsidRDefault="006A0AF5" w:rsidP="006A0AF5">
      <w:pPr>
        <w:pStyle w:val="NormalWeb"/>
      </w:pPr>
      <w:proofErr w:type="gramStart"/>
      <w:r w:rsidRPr="00322933">
        <w:t>SECTION 4.</w:t>
      </w:r>
      <w:proofErr w:type="gramEnd"/>
      <w:r w:rsidRPr="00322933">
        <w:t xml:space="preserve">  Said chapter 166A is hereby further amended by striking out section 6, as </w:t>
      </w:r>
      <w:r>
        <w:t xml:space="preserve">so </w:t>
      </w:r>
      <w:r w:rsidRPr="00322933">
        <w:t>appearing, and inserting in place thereof the following section:-</w:t>
      </w:r>
    </w:p>
    <w:p w:rsidR="006A0AF5" w:rsidRPr="00322933" w:rsidRDefault="006A0AF5" w:rsidP="006A0AF5">
      <w:pPr>
        <w:tabs>
          <w:tab w:val="left" w:pos="-720"/>
        </w:tabs>
        <w:suppressAutoHyphens/>
      </w:pPr>
      <w:proofErr w:type="gramStart"/>
      <w:r w:rsidRPr="00322933">
        <w:t>Section 6.</w:t>
      </w:r>
      <w:proofErr w:type="gramEnd"/>
      <w:r w:rsidRPr="00322933">
        <w:t> </w:t>
      </w:r>
      <w:r w:rsidRPr="0073334B">
        <w:t>Issuan</w:t>
      </w:r>
      <w:r>
        <w:t>ce of License; Hearing; Notice.</w:t>
      </w:r>
    </w:p>
    <w:p w:rsidR="006A0AF5" w:rsidRPr="00322933" w:rsidRDefault="006A0AF5" w:rsidP="006A0AF5">
      <w:pPr>
        <w:ind w:left="360"/>
      </w:pPr>
      <w:r w:rsidRPr="00322933">
        <w:t xml:space="preserve">(a) Within ten (10) business days of receipt of an application, the issuing authority and applicant shall commence negotiations on the terms and conditions of a license. </w:t>
      </w:r>
    </w:p>
    <w:p w:rsidR="006A0AF5" w:rsidRPr="00322933" w:rsidRDefault="006A0AF5" w:rsidP="006A0AF5">
      <w:pPr>
        <w:ind w:left="360"/>
      </w:pPr>
      <w:r w:rsidRPr="00322933">
        <w:t xml:space="preserve">(b) Within ninety (90) days of receipt of an application, the issuing authority shall hold a public hearing thereon, first causing notice of the time and place of such hearing and of the subject matter sufficient for identification, to be published in a newspaper of general circulation in the city or town not less than fourteen days before the day of such hearing, or if there is no such newspaper in such city or town then by posting such notice in a conspicuous place in the city or town hall for a period of not less than fourteen days before the day of such hearing.  </w:t>
      </w:r>
    </w:p>
    <w:p w:rsidR="006A0AF5" w:rsidRPr="00322933" w:rsidRDefault="006A0AF5" w:rsidP="006A0AF5">
      <w:pPr>
        <w:ind w:left="360"/>
      </w:pPr>
      <w:r w:rsidRPr="00322933">
        <w:t>(c) The purpose of the hearing shall be to assess the applicant’s financial, technical and other qualifications to operate a CATV system in the municipality based upon the contents of the application and the negotiated terms and conditions of the license.  Within five (5) business days of the public hearing held pursuant to this section, the issuing authority shall approve or deny the application, provided that the issuing authority may not unreasonably refuse to approve a competitive cable license application.  For purposes of this section, it shall be deemed unreasonable for an issuing authority to require the applicant to provide fees in excess of those set forth in section nine of this chapter.  In the event that the issuing authority approves the application, then the parties shall execute a final license within five (5) business days of the public hearing, and the issuing authority shall deliver a copy of the fully-executed final license to the division.  In the event that the issuing authority denies the application, then it shall issue a written public statement within five (5) business days of the public hearing containing the reasons for its rejection, and the issuing authority shall promptly deliver a copy of said public statement to the applicant and to the division.</w:t>
      </w:r>
    </w:p>
    <w:p w:rsidR="006A0AF5" w:rsidRPr="00322933" w:rsidRDefault="006A0AF5" w:rsidP="006A0AF5">
      <w:pPr>
        <w:pStyle w:val="NormalWeb"/>
      </w:pPr>
      <w:proofErr w:type="gramStart"/>
      <w:r w:rsidRPr="00322933">
        <w:t>SECTION 5.</w:t>
      </w:r>
      <w:proofErr w:type="gramEnd"/>
      <w:r w:rsidRPr="00322933">
        <w:t xml:space="preserve">  Chapter 166A is hereby amended by striking out section 9, as </w:t>
      </w:r>
      <w:r>
        <w:t xml:space="preserve">so </w:t>
      </w:r>
      <w:r w:rsidRPr="00322933">
        <w:t>appearing, and inserting in place thereof the following section:-</w:t>
      </w:r>
    </w:p>
    <w:p w:rsidR="006A0AF5" w:rsidRPr="00322933" w:rsidRDefault="006A0AF5" w:rsidP="006A0AF5">
      <w:pPr>
        <w:tabs>
          <w:tab w:val="left" w:pos="-720"/>
        </w:tabs>
        <w:suppressAutoHyphens/>
        <w:rPr>
          <w:b/>
        </w:rPr>
      </w:pPr>
      <w:proofErr w:type="gramStart"/>
      <w:r w:rsidRPr="00322933">
        <w:t>Section 9.</w:t>
      </w:r>
      <w:proofErr w:type="gramEnd"/>
      <w:r w:rsidRPr="00322933">
        <w:t> </w:t>
      </w:r>
      <w:proofErr w:type="gramStart"/>
      <w:r w:rsidRPr="0073334B">
        <w:t>License Fees; PEG Support Fees.</w:t>
      </w:r>
      <w:proofErr w:type="gramEnd"/>
    </w:p>
    <w:p w:rsidR="006A0AF5" w:rsidRPr="00322933" w:rsidRDefault="006A0AF5" w:rsidP="006A0AF5">
      <w:pPr>
        <w:numPr>
          <w:ilvl w:val="0"/>
          <w:numId w:val="1"/>
        </w:numPr>
        <w:tabs>
          <w:tab w:val="left" w:pos="-720"/>
        </w:tabs>
        <w:suppressAutoHyphens/>
        <w:overflowPunct w:val="0"/>
        <w:autoSpaceDE w:val="0"/>
        <w:autoSpaceDN w:val="0"/>
        <w:adjustRightInd w:val="0"/>
        <w:spacing w:after="0" w:line="240" w:lineRule="auto"/>
        <w:jc w:val="both"/>
        <w:textAlignment w:val="baseline"/>
      </w:pPr>
      <w:r w:rsidRPr="00322933">
        <w:t xml:space="preserve">No application for a license to operate a CATV system or for renewal, transfer or assignment of such a license shall be considered by an issuing authority unless it is accompanied by an application fee of one hundred dollars payable to the city or town.  A licensee, serving more than two hundred and fifty subscribers, shall on or before March fifteenth of each year, pay to the </w:t>
      </w:r>
      <w:r w:rsidRPr="00322933">
        <w:lastRenderedPageBreak/>
        <w:t xml:space="preserve">commonwealth a license fee equal to eighty cents per subscriber served and to the issuing authority a license fee equal to fifty cents per subscriber served.  In determining a license fee, the number of subscribers served shall be measured as of December </w:t>
      </w:r>
      <w:r w:rsidR="006B571D" w:rsidRPr="00322933">
        <w:t>thirty-first</w:t>
      </w:r>
      <w:r w:rsidRPr="00322933">
        <w:t xml:space="preserve"> of the preceding calendar year.</w:t>
      </w:r>
    </w:p>
    <w:p w:rsidR="006A0AF5" w:rsidRPr="00322933" w:rsidRDefault="006A0AF5" w:rsidP="006A0AF5">
      <w:pPr>
        <w:tabs>
          <w:tab w:val="left" w:pos="-720"/>
        </w:tabs>
        <w:suppressAutoHyphens/>
        <w:ind w:left="120"/>
        <w:jc w:val="both"/>
      </w:pPr>
    </w:p>
    <w:p w:rsidR="006A0AF5" w:rsidRPr="00322933" w:rsidRDefault="006A0AF5" w:rsidP="006A0AF5">
      <w:pPr>
        <w:numPr>
          <w:ilvl w:val="0"/>
          <w:numId w:val="1"/>
        </w:numPr>
        <w:tabs>
          <w:tab w:val="left" w:pos="-720"/>
        </w:tabs>
        <w:suppressAutoHyphens/>
        <w:overflowPunct w:val="0"/>
        <w:autoSpaceDE w:val="0"/>
        <w:autoSpaceDN w:val="0"/>
        <w:adjustRightInd w:val="0"/>
        <w:spacing w:after="0" w:line="240" w:lineRule="auto"/>
        <w:jc w:val="both"/>
        <w:textAlignment w:val="baseline"/>
      </w:pPr>
      <w:r w:rsidRPr="00322933">
        <w:t xml:space="preserve">The issuing authority may require each CATV operator issued a license to provide funding to support the ongoing operations of public, educational and governmental access programming.  Such fee, together with the license fee set forth in subsection (a), shall not exceed five percent (5%) of the CATV operator’s annual gross revenue. </w:t>
      </w:r>
    </w:p>
    <w:p w:rsidR="006A0AF5" w:rsidRPr="00322933" w:rsidRDefault="006A0AF5" w:rsidP="006A0AF5">
      <w:pPr>
        <w:tabs>
          <w:tab w:val="left" w:pos="-720"/>
        </w:tabs>
        <w:suppressAutoHyphens/>
        <w:ind w:left="120"/>
        <w:jc w:val="both"/>
      </w:pPr>
    </w:p>
    <w:p w:rsidR="006A0AF5" w:rsidRPr="00322933" w:rsidRDefault="006A0AF5" w:rsidP="006A0AF5">
      <w:pPr>
        <w:numPr>
          <w:ilvl w:val="0"/>
          <w:numId w:val="1"/>
        </w:numPr>
        <w:tabs>
          <w:tab w:val="left" w:pos="-720"/>
        </w:tabs>
        <w:suppressAutoHyphens/>
        <w:overflowPunct w:val="0"/>
        <w:autoSpaceDE w:val="0"/>
        <w:autoSpaceDN w:val="0"/>
        <w:adjustRightInd w:val="0"/>
        <w:spacing w:after="0" w:line="240" w:lineRule="auto"/>
        <w:jc w:val="both"/>
        <w:textAlignment w:val="baseline"/>
      </w:pPr>
      <w:r w:rsidRPr="00322933">
        <w:t>Unless otherwise authorized by an agreement with the issuing authority, after the effective date of this chapter and until the expiration of the incumbent CATV operator's existing license, if the incumbent CATV operator’s license has obligations to remit to the issuing authority any lump sum payments for the capital costs of public, educational, and government access channel facilities or institutional networks, each CATV operator issued a license by the issuing authority may be required to provide payments to the issuing authority to support the capital costs of public, educational, and government access channel facilities or institutional networks in an amount up to one percent (1%) of each operator's annual gross revenue, provided that in no event shall the total of such payments exceed the capital support funding required to be provided in the incumbent CATV operator's license, pro rated on a monthly per subscriber basis calculated based on the incumbent CATV operator’s capital support obligation in the existing license and number of subscribers in the municipality at the time the competitive provider’s license application is filed with the issuing authority.</w:t>
      </w:r>
    </w:p>
    <w:p w:rsidR="006A0AF5" w:rsidRPr="00322933" w:rsidRDefault="006A0AF5" w:rsidP="006A0AF5">
      <w:pPr>
        <w:tabs>
          <w:tab w:val="left" w:pos="-720"/>
        </w:tabs>
        <w:suppressAutoHyphens/>
        <w:ind w:left="120"/>
        <w:jc w:val="both"/>
      </w:pPr>
    </w:p>
    <w:p w:rsidR="006A0AF5" w:rsidRPr="00322933" w:rsidRDefault="006A0AF5" w:rsidP="006A0AF5">
      <w:pPr>
        <w:numPr>
          <w:ilvl w:val="0"/>
          <w:numId w:val="1"/>
        </w:numPr>
        <w:tabs>
          <w:tab w:val="left" w:pos="-720"/>
        </w:tabs>
        <w:suppressAutoHyphens/>
        <w:overflowPunct w:val="0"/>
        <w:autoSpaceDE w:val="0"/>
        <w:autoSpaceDN w:val="0"/>
        <w:adjustRightInd w:val="0"/>
        <w:spacing w:after="0" w:line="240" w:lineRule="auto"/>
        <w:jc w:val="both"/>
        <w:textAlignment w:val="baseline"/>
      </w:pPr>
      <w:r w:rsidRPr="00322933">
        <w:t>After expiration of the incumbent CATV operator’s license in effect as of the effective date of this chapter, all CATV operators in a municipality shall provide annual payments to the issuing authority to support the capital costs of public, educational, and government access channel facilities or institutional networks in an amount equal to one percent (1%) of each operator’s annual gross revenues, or such other lesser amount that may be authorized by an agreement with the issuing authority.  Each such annual payment shall be remitted to the issuing authority on or before March</w:t>
      </w:r>
      <w:r w:rsidR="006B571D">
        <w:t xml:space="preserve"> fifteenth</w:t>
      </w:r>
      <w:r w:rsidRPr="00322933">
        <w:t xml:space="preserve"> of each year. </w:t>
      </w:r>
    </w:p>
    <w:p w:rsidR="006A0AF5" w:rsidRPr="00322933" w:rsidRDefault="006A0AF5" w:rsidP="006A0AF5">
      <w:pPr>
        <w:tabs>
          <w:tab w:val="left" w:pos="-720"/>
        </w:tabs>
        <w:suppressAutoHyphens/>
        <w:jc w:val="both"/>
      </w:pPr>
    </w:p>
    <w:p w:rsidR="006A0AF5" w:rsidRPr="00322933" w:rsidRDefault="006A0AF5" w:rsidP="006A0AF5">
      <w:pPr>
        <w:numPr>
          <w:ilvl w:val="0"/>
          <w:numId w:val="1"/>
        </w:numPr>
        <w:tabs>
          <w:tab w:val="left" w:pos="-720"/>
        </w:tabs>
        <w:suppressAutoHyphens/>
        <w:overflowPunct w:val="0"/>
        <w:autoSpaceDE w:val="0"/>
        <w:autoSpaceDN w:val="0"/>
        <w:adjustRightInd w:val="0"/>
        <w:spacing w:after="0" w:line="240" w:lineRule="auto"/>
        <w:jc w:val="both"/>
        <w:textAlignment w:val="baseline"/>
      </w:pPr>
      <w:r w:rsidRPr="00322933">
        <w:t>The CATV operator’s obligation to transmit public, educational and governmental access channel signals shall be subject to the provision by the issuing authority, without charge to the CATV operator of: (1) access to the content origination facility; (2) access to any required equipment within the content origination facility and suitable required space, environmental conditions, electrical power supply, access, and pathways within the content origination facility; (3) video and audio signal feeds in a mutually agreed upon format suitable for access channel programming; and (4) any third-party consent that may be necessary to transmit such access channel signals (including, without limitation, any consent that may be required with respect to third-party facilities, including the facilities of the incumbent cable provider, used to originate at or transmit access channel content to the content origination facility) .</w:t>
      </w:r>
    </w:p>
    <w:p w:rsidR="006A0AF5" w:rsidRPr="00322933" w:rsidRDefault="006A0AF5" w:rsidP="006A0AF5">
      <w:pPr>
        <w:pStyle w:val="NormalWeb"/>
      </w:pPr>
      <w:proofErr w:type="gramStart"/>
      <w:r w:rsidRPr="00322933">
        <w:lastRenderedPageBreak/>
        <w:t>SECTION 6.</w:t>
      </w:r>
      <w:proofErr w:type="gramEnd"/>
      <w:r w:rsidRPr="00322933">
        <w:t xml:space="preserve">  Said chapter 166A</w:t>
      </w:r>
      <w:r>
        <w:t>, as so appearing,</w:t>
      </w:r>
      <w:r w:rsidRPr="00322933">
        <w:t xml:space="preserve"> is hereby further amended by striking out the first paragraph of Section 14, and replacing it with the following new paragraph:</w:t>
      </w:r>
    </w:p>
    <w:p w:rsidR="006A0AF5" w:rsidRPr="00322933" w:rsidRDefault="006A0AF5" w:rsidP="006A0AF5">
      <w:pPr>
        <w:tabs>
          <w:tab w:val="left" w:pos="-720"/>
        </w:tabs>
        <w:suppressAutoHyphens/>
        <w:jc w:val="both"/>
      </w:pPr>
      <w:r w:rsidRPr="00322933">
        <w:t xml:space="preserve">Any applicant for a license or renewal of a license who is aggrieved by a denial of its application by the issuing authority or by its failure to act within the period of sixty days or otherwise act with the time periods set forth in Section 6 of this chapter or any licensee who is aggrieved by the action of an issuing authority in modifying, suspending, cancelling, revoking, declaring a license forfeited, denying consent to the transfer or assignment of a license or control thereof, or by the issuing authority's failure to act within the period of sixty days may appeal </w:t>
      </w:r>
      <w:proofErr w:type="spellStart"/>
      <w:r w:rsidRPr="00322933">
        <w:t>therefrom</w:t>
      </w:r>
      <w:proofErr w:type="spellEnd"/>
      <w:r w:rsidRPr="00322933">
        <w:t xml:space="preserve"> to the division within thirty days following notice of such action or within thirty days following the expiration of such sixty day period of inaction or such time period set forth in Section 6 of this chapter, by a petition in writing, setting forth all material facts in the case.</w:t>
      </w:r>
    </w:p>
    <w:p w:rsidR="006A0AF5" w:rsidRDefault="006A0AF5" w:rsidP="006A0AF5">
      <w:pPr>
        <w:pStyle w:val="NormalWeb"/>
      </w:pPr>
      <w:proofErr w:type="gramStart"/>
      <w:r w:rsidRPr="00322933">
        <w:t>SECTION 7.</w:t>
      </w:r>
      <w:proofErr w:type="gramEnd"/>
      <w:r w:rsidRPr="00322933">
        <w:t xml:space="preserve">  Said chapter 166A is hereby further amended by striking out the first line of Section 1</w:t>
      </w:r>
      <w:r>
        <w:t>6</w:t>
      </w:r>
      <w:r w:rsidRPr="00322933">
        <w:t xml:space="preserve">, as </w:t>
      </w:r>
      <w:r>
        <w:t xml:space="preserve">so </w:t>
      </w:r>
      <w:r w:rsidRPr="00322933">
        <w:t xml:space="preserve">appearing, and inserting in its place the following sentence:  </w:t>
      </w:r>
    </w:p>
    <w:p w:rsidR="006A0AF5" w:rsidRPr="00322933" w:rsidRDefault="006A0AF5" w:rsidP="006A0AF5">
      <w:pPr>
        <w:pStyle w:val="NormalWeb"/>
      </w:pPr>
      <w:r w:rsidRPr="00322933">
        <w:t xml:space="preserve">The division shall after hearing issue or amend such standards and regulations as are necessary and appropriate to carry out the purpose of this chapter for which purpose it may employ such expert assistants as it deems necessary.  </w:t>
      </w:r>
    </w:p>
    <w:p w:rsidR="00457DC2" w:rsidRDefault="006A0AF5" w:rsidP="006A0AF5">
      <w:pPr>
        <w:pStyle w:val="NormalWeb"/>
        <w:jc w:val="both"/>
      </w:pPr>
      <w:bookmarkStart w:id="0" w:name="0026L13"/>
      <w:bookmarkStart w:id="1" w:name="0026L14"/>
      <w:bookmarkStart w:id="2" w:name="0026L15"/>
      <w:bookmarkStart w:id="3" w:name="0026L16"/>
      <w:bookmarkStart w:id="4" w:name="0026L17"/>
      <w:bookmarkStart w:id="5" w:name="0026L18"/>
      <w:bookmarkStart w:id="6" w:name="0026L19"/>
      <w:bookmarkStart w:id="7" w:name="0026L20"/>
      <w:bookmarkStart w:id="8" w:name="0026L21"/>
      <w:bookmarkEnd w:id="0"/>
      <w:bookmarkEnd w:id="1"/>
      <w:bookmarkEnd w:id="2"/>
      <w:bookmarkEnd w:id="3"/>
      <w:bookmarkEnd w:id="4"/>
      <w:bookmarkEnd w:id="5"/>
      <w:bookmarkEnd w:id="6"/>
      <w:bookmarkEnd w:id="7"/>
      <w:bookmarkEnd w:id="8"/>
      <w:proofErr w:type="gramStart"/>
      <w:r w:rsidRPr="00322933">
        <w:t>SECTION 8.</w:t>
      </w:r>
      <w:proofErr w:type="gramEnd"/>
      <w:r w:rsidRPr="00322933">
        <w:t xml:space="preserve">  This act shall take effect immediately upon passage.</w:t>
      </w:r>
      <w:r>
        <w:rPr>
          <w:sz w:val="22"/>
        </w:rPr>
        <w:tab/>
      </w:r>
    </w:p>
    <w:sectPr w:rsidR="00457DC2" w:rsidSect="00457DC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06508"/>
    <w:multiLevelType w:val="hybridMultilevel"/>
    <w:tmpl w:val="C5AE541A"/>
    <w:lvl w:ilvl="0" w:tplc="063A58FA">
      <w:start w:val="1"/>
      <w:numFmt w:val="lowerLetter"/>
      <w:lvlText w:val="(%1)"/>
      <w:lvlJc w:val="left"/>
      <w:pPr>
        <w:tabs>
          <w:tab w:val="num" w:pos="510"/>
        </w:tabs>
        <w:ind w:left="510" w:hanging="390"/>
      </w:pPr>
      <w:rPr>
        <w:rFonts w:hint="default"/>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57DC2"/>
    <w:rsid w:val="0023379A"/>
    <w:rsid w:val="00457DC2"/>
    <w:rsid w:val="006A0AF5"/>
    <w:rsid w:val="006B57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0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AF5"/>
    <w:rPr>
      <w:rFonts w:ascii="Tahoma" w:hAnsi="Tahoma" w:cs="Tahoma"/>
      <w:sz w:val="16"/>
      <w:szCs w:val="16"/>
    </w:rPr>
  </w:style>
  <w:style w:type="character" w:styleId="LineNumber">
    <w:name w:val="line number"/>
    <w:basedOn w:val="DefaultParagraphFont"/>
    <w:uiPriority w:val="99"/>
    <w:semiHidden/>
    <w:unhideWhenUsed/>
    <w:rsid w:val="006A0AF5"/>
  </w:style>
  <w:style w:type="paragraph" w:styleId="NormalWeb">
    <w:name w:val="Normal (Web)"/>
    <w:basedOn w:val="Normal"/>
    <w:rsid w:val="006A0A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1551</Words>
  <Characters>8845</Characters>
  <Application>Microsoft Office Word</Application>
  <DocSecurity>0</DocSecurity>
  <Lines>73</Lines>
  <Paragraphs>20</Paragraphs>
  <ScaleCrop>false</ScaleCrop>
  <Company>Massachusetts Legislature</Company>
  <LinksUpToDate>false</LinksUpToDate>
  <CharactersWithSpaces>10376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2009-01-13T23:42:00Z</dcterms:created>
  <dcterms:modified xsi:type="dcterms:W3CDTF">2009-01-14T13:11:00Z</dcterms:modified>
</cp:coreProperties>
</file>