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01F" w:rsidRDefault="00811EFB">
      <w:pPr>
        <w:suppressLineNumbers/>
        <w:spacing w:after="2"/>
        <w:jc w:val="center"/>
      </w:pPr>
      <w:r>
        <w:rPr>
          <w:rFonts w:ascii="Arial"/>
          <w:sz w:val="18"/>
        </w:rPr>
        <w:t>SENATE DOCKET, NO.         FILED ON: 1/12/2009</w:t>
      </w:r>
    </w:p>
    <w:p w:rsidR="000D101F" w:rsidRDefault="00811EFB">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11EFB" w:rsidP="00DB534B">
            <w:pPr>
              <w:suppressLineNumbers/>
              <w:jc w:val="right"/>
              <w:rPr>
                <w:b/>
                <w:sz w:val="28"/>
              </w:rPr>
            </w:pPr>
          </w:p>
        </w:tc>
      </w:tr>
    </w:tbl>
    <w:p w:rsidR="000D101F" w:rsidRDefault="00811EFB">
      <w:pPr>
        <w:suppressLineNumbers/>
        <w:spacing w:before="2" w:after="2"/>
        <w:jc w:val="center"/>
      </w:pPr>
      <w:r>
        <w:rPr>
          <w:rFonts w:ascii="Old English Text MT"/>
          <w:sz w:val="32"/>
        </w:rPr>
        <w:t>The Commonwealth of Massachusetts</w:t>
      </w:r>
    </w:p>
    <w:p w:rsidR="000D101F" w:rsidRDefault="00811EFB">
      <w:pPr>
        <w:suppressLineNumbers/>
        <w:spacing w:after="2"/>
        <w:jc w:val="center"/>
      </w:pPr>
      <w:r>
        <w:rPr>
          <w:rFonts w:ascii="Times New Roman"/>
          <w:b/>
          <w:sz w:val="32"/>
          <w:vertAlign w:val="superscript"/>
        </w:rPr>
        <w:t>_______________</w:t>
      </w:r>
    </w:p>
    <w:p w:rsidR="000D101F" w:rsidRDefault="00811EFB">
      <w:pPr>
        <w:suppressLineNumbers/>
        <w:spacing w:before="2"/>
        <w:jc w:val="center"/>
      </w:pPr>
      <w:r>
        <w:rPr>
          <w:rFonts w:ascii="Times New Roman"/>
          <w:sz w:val="20"/>
        </w:rPr>
        <w:t>PRESENTED BY:</w:t>
      </w:r>
    </w:p>
    <w:p w:rsidR="000D101F" w:rsidRDefault="00811EFB">
      <w:pPr>
        <w:suppressLineNumbers/>
        <w:spacing w:after="2"/>
        <w:jc w:val="center"/>
      </w:pPr>
      <w:r>
        <w:rPr>
          <w:rFonts w:ascii="Times New Roman"/>
          <w:b/>
          <w:sz w:val="24"/>
        </w:rPr>
        <w:t>Mr. Downing</w:t>
      </w:r>
    </w:p>
    <w:p w:rsidR="000D101F" w:rsidRDefault="00811EFB">
      <w:pPr>
        <w:suppressLineNumbers/>
        <w:jc w:val="center"/>
      </w:pPr>
      <w:r>
        <w:rPr>
          <w:rFonts w:ascii="Times New Roman"/>
          <w:b/>
          <w:sz w:val="32"/>
          <w:vertAlign w:val="superscript"/>
        </w:rPr>
        <w:t>_______________</w:t>
      </w:r>
    </w:p>
    <w:p w:rsidR="000D101F" w:rsidRDefault="00811EF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D101F" w:rsidRDefault="00811EFB">
      <w:pPr>
        <w:suppressLineNumbers/>
      </w:pPr>
      <w:r>
        <w:rPr>
          <w:rFonts w:ascii="Times New Roman"/>
          <w:sz w:val="20"/>
        </w:rPr>
        <w:tab/>
        <w:t>The undersigned legislators and/or citizens respectfully petition for the passage of the accompanying bill:</w:t>
      </w:r>
    </w:p>
    <w:p w:rsidR="000D101F" w:rsidRDefault="00811EFB">
      <w:pPr>
        <w:suppressLineNumbers/>
        <w:spacing w:after="2"/>
        <w:jc w:val="center"/>
      </w:pPr>
      <w:r>
        <w:rPr>
          <w:rFonts w:ascii="Times New Roman"/>
          <w:sz w:val="24"/>
        </w:rPr>
        <w:t>An Act establishing resident</w:t>
      </w:r>
      <w:r>
        <w:rPr>
          <w:rFonts w:ascii="Times New Roman"/>
          <w:sz w:val="24"/>
        </w:rPr>
        <w:t>ial tax abatement zones in Gateway Cities.</w:t>
      </w:r>
    </w:p>
    <w:p w:rsidR="000D101F" w:rsidRDefault="00811EFB">
      <w:pPr>
        <w:suppressLineNumbers/>
        <w:spacing w:after="2"/>
        <w:jc w:val="center"/>
      </w:pPr>
      <w:r>
        <w:rPr>
          <w:rFonts w:ascii="Times New Roman"/>
          <w:b/>
          <w:sz w:val="32"/>
          <w:vertAlign w:val="superscript"/>
        </w:rPr>
        <w:t>_______________</w:t>
      </w:r>
    </w:p>
    <w:p w:rsidR="000D101F" w:rsidRDefault="00811EFB">
      <w:pPr>
        <w:suppressLineNumbers/>
        <w:jc w:val="center"/>
      </w:pPr>
      <w:r>
        <w:rPr>
          <w:rFonts w:ascii="Times New Roman"/>
          <w:sz w:val="20"/>
        </w:rPr>
        <w:t>PETITION OF:</w:t>
      </w:r>
    </w:p>
    <w:p w:rsidR="000D101F" w:rsidRDefault="000D101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D101F">
            <w:tblPrEx>
              <w:tblCellMar>
                <w:top w:w="0" w:type="dxa"/>
                <w:bottom w:w="0" w:type="dxa"/>
              </w:tblCellMar>
            </w:tblPrEx>
            <w:tc>
              <w:tcPr>
                <w:tcW w:w="4500" w:type="dxa"/>
                <w:tcBorders>
                  <w:top w:val="nil"/>
                  <w:bottom w:val="single" w:sz="4" w:space="0" w:color="auto"/>
                  <w:right w:val="single" w:sz="4" w:space="0" w:color="auto"/>
                </w:tcBorders>
              </w:tcPr>
              <w:p w:rsidR="000D101F" w:rsidRDefault="00811EF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D101F" w:rsidRDefault="00811EFB">
                <w:pPr>
                  <w:suppressLineNumbers/>
                  <w:spacing w:after="2"/>
                  <w:rPr>
                    <w:smallCaps/>
                  </w:rPr>
                </w:pPr>
                <w:r>
                  <w:rPr>
                    <w:rFonts w:ascii="Times New Roman"/>
                    <w:smallCaps/>
                    <w:sz w:val="24"/>
                  </w:rPr>
                  <w:t>District/Address:</w:t>
                </w:r>
              </w:p>
            </w:tc>
          </w:tr>
          <w:tr w:rsidR="000D101F">
            <w:tblPrEx>
              <w:tblCellMar>
                <w:top w:w="0" w:type="dxa"/>
                <w:bottom w:w="0" w:type="dxa"/>
              </w:tblCellMar>
            </w:tblPrEx>
            <w:tc>
              <w:tcPr>
                <w:tcW w:w="4500" w:type="dxa"/>
              </w:tcPr>
              <w:p w:rsidR="000D101F" w:rsidRDefault="00811EFB">
                <w:pPr>
                  <w:suppressLineNumbers/>
                  <w:spacing w:after="2"/>
                  <w:rPr>
                    <w:rFonts w:ascii="Times New Roman"/>
                  </w:rPr>
                </w:pPr>
                <w:r>
                  <w:rPr>
                    <w:rFonts w:ascii="Times New Roman"/>
                  </w:rPr>
                  <w:t>Mr. Downing</w:t>
                </w:r>
              </w:p>
            </w:tc>
            <w:tc>
              <w:tcPr>
                <w:tcW w:w="4500" w:type="dxa"/>
              </w:tcPr>
              <w:p w:rsidR="000D101F" w:rsidRDefault="00811EFB">
                <w:pPr>
                  <w:suppressLineNumbers/>
                  <w:spacing w:after="2"/>
                  <w:rPr>
                    <w:rFonts w:ascii="Times New Roman"/>
                  </w:rPr>
                </w:pPr>
                <w:r>
                  <w:rPr>
                    <w:rFonts w:ascii="Times New Roman"/>
                  </w:rPr>
                  <w:t>Berkshire, Hampshire and Franklin</w:t>
                </w:r>
              </w:p>
            </w:tc>
          </w:tr>
        </w:tbl>
      </w:sdtContent>
    </w:sdt>
    <w:p w:rsidR="000D101F" w:rsidRDefault="00811EFB">
      <w:pPr>
        <w:suppressLineNumbers/>
      </w:pPr>
      <w:r>
        <w:br w:type="page"/>
      </w:r>
    </w:p>
    <w:p w:rsidR="000D101F" w:rsidRDefault="00811EFB">
      <w:pPr>
        <w:suppressLineNumbers/>
        <w:spacing w:before="2" w:after="2"/>
        <w:jc w:val="center"/>
      </w:pPr>
      <w:r>
        <w:rPr>
          <w:rFonts w:ascii="Old English Text MT"/>
          <w:sz w:val="32"/>
        </w:rPr>
        <w:lastRenderedPageBreak/>
        <w:t>The Commonwealth of Massachusetts</w:t>
      </w:r>
      <w:r>
        <w:rPr>
          <w:rFonts w:ascii="Old English Text MT"/>
          <w:sz w:val="32"/>
        </w:rPr>
        <w:br/>
      </w:r>
    </w:p>
    <w:p w:rsidR="000D101F" w:rsidRDefault="00811EFB">
      <w:pPr>
        <w:suppressLineNumbers/>
        <w:spacing w:after="2"/>
        <w:jc w:val="center"/>
      </w:pPr>
      <w:r>
        <w:rPr>
          <w:rFonts w:ascii="Times New Roman"/>
          <w:b/>
          <w:sz w:val="24"/>
          <w:vertAlign w:val="superscript"/>
        </w:rPr>
        <w:t>_______________</w:t>
      </w:r>
    </w:p>
    <w:p w:rsidR="000D101F" w:rsidRDefault="00811EFB">
      <w:pPr>
        <w:suppressLineNumbers/>
        <w:spacing w:after="2"/>
        <w:jc w:val="center"/>
      </w:pPr>
      <w:r>
        <w:rPr>
          <w:rFonts w:ascii="Times New Roman"/>
          <w:b/>
          <w:sz w:val="18"/>
        </w:rPr>
        <w:t>In the Year Two Thousand and Nine</w:t>
      </w:r>
    </w:p>
    <w:p w:rsidR="000D101F" w:rsidRDefault="00811EFB">
      <w:pPr>
        <w:suppressLineNumbers/>
        <w:spacing w:after="2"/>
        <w:jc w:val="center"/>
      </w:pPr>
      <w:r>
        <w:rPr>
          <w:rFonts w:ascii="Times New Roman"/>
          <w:b/>
          <w:sz w:val="24"/>
          <w:vertAlign w:val="superscript"/>
        </w:rPr>
        <w:t>_______________</w:t>
      </w:r>
    </w:p>
    <w:p w:rsidR="000D101F" w:rsidRDefault="00811EFB">
      <w:pPr>
        <w:suppressLineNumbers/>
        <w:spacing w:after="2"/>
      </w:pPr>
      <w:r>
        <w:rPr>
          <w:sz w:val="14"/>
        </w:rPr>
        <w:br/>
      </w:r>
      <w:r>
        <w:br/>
      </w:r>
    </w:p>
    <w:p w:rsidR="000D101F" w:rsidRDefault="00811EFB">
      <w:pPr>
        <w:suppressLineNumbers/>
      </w:pPr>
      <w:proofErr w:type="gramStart"/>
      <w:r>
        <w:rPr>
          <w:rFonts w:ascii="Times New Roman"/>
          <w:smallCaps/>
          <w:sz w:val="28"/>
        </w:rPr>
        <w:t>An Act establishing residential tax abatement zones in Gateway Cities.</w:t>
      </w:r>
      <w:proofErr w:type="gramEnd"/>
      <w:r>
        <w:br/>
      </w:r>
      <w:r>
        <w:br/>
      </w:r>
      <w:r>
        <w:br/>
      </w:r>
    </w:p>
    <w:p w:rsidR="000D101F" w:rsidRDefault="00811EFB">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811EFB" w:rsidRPr="007500A8" w:rsidRDefault="00811EFB" w:rsidP="00811EFB">
      <w:pPr>
        <w:spacing w:line="480" w:lineRule="auto"/>
        <w:contextualSpacing/>
        <w:rPr>
          <w:rFonts w:ascii="Times New Roman" w:hAnsi="Times New Roman" w:cs="Times New Roman"/>
          <w:color w:val="000000" w:themeColor="text1"/>
          <w:sz w:val="24"/>
          <w:szCs w:val="24"/>
        </w:rPr>
      </w:pPr>
      <w:proofErr w:type="gramStart"/>
      <w:r w:rsidRPr="007500A8">
        <w:rPr>
          <w:rFonts w:ascii="Times New Roman" w:hAnsi="Times New Roman" w:cs="Times New Roman"/>
          <w:color w:val="000000" w:themeColor="text1"/>
          <w:sz w:val="24"/>
          <w:szCs w:val="24"/>
        </w:rPr>
        <w:t xml:space="preserve">SECTION </w:t>
      </w:r>
      <w:r>
        <w:rPr>
          <w:rFonts w:ascii="Times New Roman" w:hAnsi="Times New Roman" w:cs="Times New Roman"/>
          <w:color w:val="000000" w:themeColor="text1"/>
          <w:sz w:val="24"/>
          <w:szCs w:val="24"/>
        </w:rPr>
        <w:t>1</w:t>
      </w:r>
      <w:r w:rsidRPr="007500A8">
        <w:rPr>
          <w:rFonts w:ascii="Times New Roman" w:hAnsi="Times New Roman" w:cs="Times New Roman"/>
          <w:color w:val="000000" w:themeColor="text1"/>
          <w:sz w:val="24"/>
          <w:szCs w:val="24"/>
        </w:rPr>
        <w:t>.</w:t>
      </w:r>
      <w:proofErr w:type="gramEnd"/>
      <w:r w:rsidRPr="007500A8">
        <w:rPr>
          <w:rFonts w:ascii="Times New Roman" w:hAnsi="Times New Roman" w:cs="Times New Roman"/>
          <w:color w:val="000000" w:themeColor="text1"/>
          <w:sz w:val="24"/>
          <w:szCs w:val="24"/>
        </w:rPr>
        <w:t xml:space="preserve"> Chapter 23B of the General Laws is hereby amended by inserting after paragraph</w:t>
      </w:r>
      <w:r>
        <w:rPr>
          <w:rFonts w:ascii="Times New Roman" w:hAnsi="Times New Roman" w:cs="Times New Roman"/>
          <w:color w:val="000000" w:themeColor="text1"/>
          <w:sz w:val="24"/>
          <w:szCs w:val="24"/>
        </w:rPr>
        <w:t xml:space="preserve"> (v) a new paragraph:-</w:t>
      </w:r>
    </w:p>
    <w:p w:rsidR="00811EFB" w:rsidRPr="00BD06DF" w:rsidRDefault="00811EFB" w:rsidP="00811EFB">
      <w:pPr>
        <w:spacing w:line="480" w:lineRule="auto"/>
        <w:contextualSpacing/>
        <w:rPr>
          <w:rFonts w:ascii="Times New Roman" w:hAnsi="Times New Roman" w:cs="Times New Roman"/>
          <w:sz w:val="24"/>
          <w:szCs w:val="24"/>
        </w:rPr>
      </w:pPr>
      <w:r w:rsidRPr="007500A8">
        <w:rPr>
          <w:rFonts w:ascii="Times New Roman" w:hAnsi="Times New Roman" w:cs="Times New Roman"/>
          <w:color w:val="000000" w:themeColor="text1"/>
          <w:sz w:val="24"/>
          <w:szCs w:val="24"/>
        </w:rPr>
        <w:t xml:space="preserve">(w) </w:t>
      </w:r>
      <w:proofErr w:type="gramStart"/>
      <w:r w:rsidRPr="007500A8">
        <w:rPr>
          <w:rFonts w:ascii="Times New Roman" w:hAnsi="Times New Roman" w:cs="Times New Roman"/>
          <w:color w:val="000000" w:themeColor="text1"/>
          <w:sz w:val="24"/>
          <w:szCs w:val="24"/>
        </w:rPr>
        <w:t>the</w:t>
      </w:r>
      <w:proofErr w:type="gramEnd"/>
      <w:r w:rsidRPr="007500A8">
        <w:rPr>
          <w:rFonts w:ascii="Times New Roman" w:hAnsi="Times New Roman" w:cs="Times New Roman"/>
          <w:color w:val="000000" w:themeColor="text1"/>
          <w:sz w:val="24"/>
          <w:szCs w:val="24"/>
        </w:rPr>
        <w:t xml:space="preserve"> Executive Office of Housing and Economic Development shall provide technical assistance to Gateway Cities who adopt Residential Tax Abatement Zones, as defined by Section 59B of Chapter 59 of the General Laws, and shall monitor the impacts of the program.</w:t>
      </w:r>
    </w:p>
    <w:p w:rsidR="00811EFB" w:rsidRPr="007500A8" w:rsidRDefault="00811EFB" w:rsidP="00811EFB">
      <w:pPr>
        <w:pStyle w:val="NormalWeb"/>
        <w:spacing w:line="480" w:lineRule="auto"/>
        <w:contextualSpacing/>
        <w:rPr>
          <w:color w:val="000000" w:themeColor="text1"/>
        </w:rPr>
      </w:pPr>
      <w:proofErr w:type="gramStart"/>
      <w:r w:rsidRPr="007500A8">
        <w:rPr>
          <w:color w:val="000000" w:themeColor="text1"/>
        </w:rPr>
        <w:t xml:space="preserve">SECTION </w:t>
      </w:r>
      <w:r>
        <w:rPr>
          <w:color w:val="000000" w:themeColor="text1"/>
        </w:rPr>
        <w:t>2</w:t>
      </w:r>
      <w:r w:rsidRPr="007500A8">
        <w:rPr>
          <w:color w:val="000000" w:themeColor="text1"/>
        </w:rPr>
        <w:t>.</w:t>
      </w:r>
      <w:proofErr w:type="gramEnd"/>
      <w:r w:rsidRPr="007500A8">
        <w:rPr>
          <w:color w:val="000000" w:themeColor="text1"/>
        </w:rPr>
        <w:t xml:space="preserve"> Chapter 59 of the General Laws is hereby amended by inserting after Section 59A the following new section:-</w:t>
      </w:r>
    </w:p>
    <w:p w:rsidR="00811EFB" w:rsidRPr="007500A8" w:rsidRDefault="00811EFB" w:rsidP="00811EFB">
      <w:pPr>
        <w:pStyle w:val="NormalWeb"/>
        <w:spacing w:line="480" w:lineRule="auto"/>
        <w:contextualSpacing/>
        <w:rPr>
          <w:color w:val="000000" w:themeColor="text1"/>
        </w:rPr>
      </w:pPr>
      <w:proofErr w:type="gramStart"/>
      <w:r w:rsidRPr="007500A8">
        <w:rPr>
          <w:color w:val="000000" w:themeColor="text1"/>
        </w:rPr>
        <w:t>SECTION 59B.</w:t>
      </w:r>
      <w:proofErr w:type="gramEnd"/>
      <w:r w:rsidRPr="007500A8">
        <w:rPr>
          <w:color w:val="000000" w:themeColor="text1"/>
        </w:rPr>
        <w:t xml:space="preserve"> Property Tax Abatement Zones in Gateway Cities</w:t>
      </w:r>
    </w:p>
    <w:p w:rsidR="00811EFB" w:rsidRPr="007500A8" w:rsidRDefault="00811EFB" w:rsidP="00811EFB">
      <w:pPr>
        <w:pStyle w:val="NormalWeb"/>
        <w:spacing w:line="480" w:lineRule="auto"/>
        <w:contextualSpacing/>
        <w:rPr>
          <w:color w:val="000000" w:themeColor="text1"/>
        </w:rPr>
      </w:pPr>
      <w:r w:rsidRPr="007500A8">
        <w:rPr>
          <w:color w:val="000000" w:themeColor="text1"/>
        </w:rPr>
        <w:t>(a) As used in this section, the following terms shall, unless the context clearly requires otherwise, have the following meanings:-</w:t>
      </w:r>
    </w:p>
    <w:p w:rsidR="00811EFB" w:rsidRPr="007500A8" w:rsidRDefault="00811EFB" w:rsidP="00811EFB">
      <w:pPr>
        <w:pStyle w:val="NormalWeb"/>
        <w:spacing w:line="480" w:lineRule="auto"/>
        <w:contextualSpacing/>
        <w:rPr>
          <w:color w:val="000000" w:themeColor="text1"/>
        </w:rPr>
      </w:pPr>
      <w:r w:rsidRPr="007500A8">
        <w:rPr>
          <w:color w:val="000000" w:themeColor="text1"/>
        </w:rPr>
        <w:t xml:space="preserve"> “Gateway Cities”, as defined by the Department of Housing and Community Development, the cities of Barnstable, Brockton, Chelsea, Chicopee, Everett, Fall River, Fitchburg, Haverhill, Holyoke, Lawrence, Leominster, Lowell, Lynn, Malden, Methuen, New Bedford, Pittsfield, Revere, Salem, Springfield, Taunton, Westfield and Worcester.</w:t>
      </w:r>
    </w:p>
    <w:p w:rsidR="00811EFB" w:rsidRPr="007500A8" w:rsidRDefault="00811EFB" w:rsidP="00811EFB">
      <w:pPr>
        <w:spacing w:line="480" w:lineRule="auto"/>
        <w:contextualSpacing/>
        <w:rPr>
          <w:rFonts w:ascii="Times New Roman" w:hAnsi="Times New Roman" w:cs="Times New Roman"/>
          <w:color w:val="000000" w:themeColor="text1"/>
          <w:sz w:val="24"/>
          <w:szCs w:val="24"/>
        </w:rPr>
      </w:pPr>
      <w:proofErr w:type="gramStart"/>
      <w:r w:rsidRPr="007500A8">
        <w:rPr>
          <w:rFonts w:ascii="Times New Roman" w:hAnsi="Times New Roman" w:cs="Times New Roman"/>
          <w:color w:val="000000" w:themeColor="text1"/>
          <w:sz w:val="24"/>
          <w:szCs w:val="24"/>
        </w:rPr>
        <w:lastRenderedPageBreak/>
        <w:t xml:space="preserve">“Residential Tax Abatement Zone”, a housing development zone in a Gateway City, to be designated by the mayor </w:t>
      </w:r>
      <w:r>
        <w:rPr>
          <w:rFonts w:ascii="Times New Roman" w:hAnsi="Times New Roman" w:cs="Times New Roman"/>
          <w:color w:val="000000" w:themeColor="text1"/>
          <w:sz w:val="24"/>
          <w:szCs w:val="24"/>
        </w:rPr>
        <w:t xml:space="preserve">or manager </w:t>
      </w:r>
      <w:r w:rsidRPr="007500A8">
        <w:rPr>
          <w:rFonts w:ascii="Times New Roman" w:hAnsi="Times New Roman" w:cs="Times New Roman"/>
          <w:color w:val="000000" w:themeColor="text1"/>
          <w:sz w:val="24"/>
          <w:szCs w:val="24"/>
        </w:rPr>
        <w:t>and the city council, for the purpose of providing residential property tax abatement</w:t>
      </w:r>
      <w:r>
        <w:rPr>
          <w:rFonts w:ascii="Times New Roman" w:hAnsi="Times New Roman" w:cs="Times New Roman"/>
          <w:color w:val="000000" w:themeColor="text1"/>
          <w:sz w:val="24"/>
          <w:szCs w:val="24"/>
        </w:rPr>
        <w:t xml:space="preserve"> on all owner-occupied properties</w:t>
      </w:r>
      <w:r w:rsidRPr="007500A8">
        <w:rPr>
          <w:rFonts w:ascii="Times New Roman" w:hAnsi="Times New Roman" w:cs="Times New Roman"/>
          <w:color w:val="000000" w:themeColor="text1"/>
          <w:sz w:val="24"/>
          <w:szCs w:val="24"/>
        </w:rPr>
        <w:t>.</w:t>
      </w:r>
      <w:proofErr w:type="gramEnd"/>
    </w:p>
    <w:p w:rsidR="00811EFB" w:rsidRPr="007500A8" w:rsidRDefault="00811EFB" w:rsidP="00811EFB">
      <w:pPr>
        <w:widowControl w:val="0"/>
        <w:autoSpaceDE w:val="0"/>
        <w:autoSpaceDN w:val="0"/>
        <w:adjustRightInd w:val="0"/>
        <w:spacing w:before="100" w:beforeAutospacing="1" w:after="100" w:afterAutospacing="1" w:line="480" w:lineRule="auto"/>
        <w:contextualSpacing/>
        <w:rPr>
          <w:rFonts w:ascii="Times New Roman" w:hAnsi="Times New Roman" w:cs="Times New Roman"/>
          <w:color w:val="000000" w:themeColor="text1"/>
          <w:sz w:val="24"/>
          <w:szCs w:val="24"/>
        </w:rPr>
      </w:pPr>
      <w:r w:rsidRPr="007500A8">
        <w:rPr>
          <w:rFonts w:ascii="Times New Roman" w:hAnsi="Times New Roman" w:cs="Times New Roman"/>
          <w:color w:val="000000" w:themeColor="text1"/>
          <w:sz w:val="24"/>
          <w:szCs w:val="24"/>
        </w:rPr>
        <w:t xml:space="preserve">“Under-utilized property”, </w:t>
      </w:r>
      <w:r w:rsidRPr="007500A8">
        <w:rPr>
          <w:rStyle w:val="apple-style-span"/>
          <w:rFonts w:ascii="Times New Roman" w:hAnsi="Times New Roman" w:cs="Times New Roman"/>
          <w:color w:val="000000" w:themeColor="text1"/>
          <w:sz w:val="24"/>
          <w:szCs w:val="24"/>
        </w:rPr>
        <w:t>a lot or part of a building in which the maximum number of residential units permitted under existing zoning regulations, building codes or approved variances has not been met</w:t>
      </w:r>
      <w:r w:rsidRPr="007500A8">
        <w:rPr>
          <w:rFonts w:ascii="Times New Roman" w:hAnsi="Times New Roman" w:cs="Times New Roman"/>
          <w:color w:val="000000" w:themeColor="text1"/>
          <w:sz w:val="24"/>
          <w:szCs w:val="24"/>
        </w:rPr>
        <w:t>.</w:t>
      </w:r>
    </w:p>
    <w:p w:rsidR="00811EFB" w:rsidRPr="007500A8" w:rsidRDefault="00811EFB" w:rsidP="00811EFB">
      <w:pPr>
        <w:widowControl w:val="0"/>
        <w:autoSpaceDE w:val="0"/>
        <w:autoSpaceDN w:val="0"/>
        <w:adjustRightInd w:val="0"/>
        <w:spacing w:before="100" w:beforeAutospacing="1" w:after="100" w:afterAutospacing="1" w:line="480" w:lineRule="auto"/>
        <w:contextualSpacing/>
        <w:rPr>
          <w:rFonts w:ascii="Times New Roman" w:hAnsi="Times New Roman" w:cs="Times New Roman"/>
          <w:color w:val="000000" w:themeColor="text1"/>
          <w:sz w:val="24"/>
          <w:szCs w:val="24"/>
        </w:rPr>
      </w:pPr>
      <w:r w:rsidRPr="007500A8">
        <w:rPr>
          <w:rFonts w:ascii="Times New Roman" w:hAnsi="Times New Roman" w:cs="Times New Roman"/>
          <w:color w:val="000000" w:themeColor="text1"/>
          <w:sz w:val="24"/>
          <w:szCs w:val="24"/>
        </w:rPr>
        <w:t xml:space="preserve">“Occupied Residential Unit”, a residential unit that is </w:t>
      </w:r>
      <w:r>
        <w:rPr>
          <w:rFonts w:ascii="Times New Roman" w:hAnsi="Times New Roman" w:cs="Times New Roman"/>
          <w:color w:val="000000" w:themeColor="text1"/>
          <w:sz w:val="24"/>
          <w:szCs w:val="24"/>
        </w:rPr>
        <w:t xml:space="preserve">presently </w:t>
      </w:r>
      <w:r w:rsidRPr="007500A8">
        <w:rPr>
          <w:rFonts w:ascii="Times New Roman" w:hAnsi="Times New Roman" w:cs="Times New Roman"/>
          <w:color w:val="000000" w:themeColor="text1"/>
          <w:sz w:val="24"/>
          <w:szCs w:val="24"/>
        </w:rPr>
        <w:t>occupied or has been vacant for less than two years.</w:t>
      </w:r>
    </w:p>
    <w:p w:rsidR="00811EFB" w:rsidRPr="007500A8" w:rsidRDefault="00811EFB" w:rsidP="00811EFB">
      <w:pPr>
        <w:widowControl w:val="0"/>
        <w:autoSpaceDE w:val="0"/>
        <w:autoSpaceDN w:val="0"/>
        <w:adjustRightInd w:val="0"/>
        <w:spacing w:before="100" w:beforeAutospacing="1" w:after="100" w:afterAutospacing="1" w:line="480" w:lineRule="auto"/>
        <w:contextualSpacing/>
        <w:rPr>
          <w:rFonts w:ascii="Times New Roman" w:hAnsi="Times New Roman" w:cs="Times New Roman"/>
          <w:color w:val="000000" w:themeColor="text1"/>
          <w:sz w:val="24"/>
          <w:szCs w:val="24"/>
        </w:rPr>
      </w:pPr>
      <w:r w:rsidRPr="007500A8">
        <w:rPr>
          <w:rFonts w:ascii="Times New Roman" w:hAnsi="Times New Roman" w:cs="Times New Roman"/>
          <w:color w:val="000000" w:themeColor="text1"/>
          <w:sz w:val="24"/>
          <w:szCs w:val="24"/>
        </w:rPr>
        <w:t>“Incremental improvements”, an increased property value created by the construction of new residential units or improvements to a property</w:t>
      </w:r>
    </w:p>
    <w:p w:rsidR="00811EFB" w:rsidRPr="007500A8" w:rsidRDefault="00811EFB" w:rsidP="00811EFB">
      <w:pPr>
        <w:spacing w:line="480" w:lineRule="auto"/>
        <w:contextualSpacing/>
        <w:rPr>
          <w:rFonts w:ascii="Times New Roman" w:hAnsi="Times New Roman" w:cs="Times New Roman"/>
          <w:color w:val="000000" w:themeColor="text1"/>
          <w:sz w:val="24"/>
          <w:szCs w:val="24"/>
        </w:rPr>
      </w:pPr>
      <w:r w:rsidRPr="007500A8">
        <w:rPr>
          <w:rFonts w:ascii="Times New Roman" w:hAnsi="Times New Roman" w:cs="Times New Roman"/>
          <w:color w:val="000000" w:themeColor="text1"/>
          <w:sz w:val="24"/>
          <w:szCs w:val="24"/>
        </w:rPr>
        <w:t xml:space="preserve">(b) There is hereby established a Residential Tax Abatement Zone program available to all Gateway Cities. No later than July 1, 2010, the mayor </w:t>
      </w:r>
      <w:r>
        <w:rPr>
          <w:rFonts w:ascii="Times New Roman" w:hAnsi="Times New Roman" w:cs="Times New Roman"/>
          <w:color w:val="000000" w:themeColor="text1"/>
          <w:sz w:val="24"/>
          <w:szCs w:val="24"/>
        </w:rPr>
        <w:t xml:space="preserve">or manager </w:t>
      </w:r>
      <w:r w:rsidRPr="007500A8">
        <w:rPr>
          <w:rFonts w:ascii="Times New Roman" w:hAnsi="Times New Roman" w:cs="Times New Roman"/>
          <w:color w:val="000000" w:themeColor="text1"/>
          <w:sz w:val="24"/>
          <w:szCs w:val="24"/>
        </w:rPr>
        <w:t>and city council for each Gateway City are authorized to designate a specific area located in or around</w:t>
      </w:r>
      <w:r>
        <w:rPr>
          <w:rFonts w:ascii="Times New Roman" w:hAnsi="Times New Roman" w:cs="Times New Roman"/>
          <w:color w:val="000000" w:themeColor="text1"/>
          <w:sz w:val="24"/>
          <w:szCs w:val="24"/>
        </w:rPr>
        <w:t xml:space="preserve"> the Gateway City </w:t>
      </w:r>
      <w:r w:rsidRPr="007500A8">
        <w:rPr>
          <w:rFonts w:ascii="Times New Roman" w:hAnsi="Times New Roman" w:cs="Times New Roman"/>
          <w:color w:val="000000" w:themeColor="text1"/>
          <w:sz w:val="24"/>
          <w:szCs w:val="24"/>
        </w:rPr>
        <w:t xml:space="preserve">downtown as the Residential Tax Abatement Zone. </w:t>
      </w:r>
    </w:p>
    <w:p w:rsidR="00811EFB" w:rsidRPr="007500A8" w:rsidRDefault="00811EFB" w:rsidP="00811EFB">
      <w:pPr>
        <w:spacing w:line="480" w:lineRule="auto"/>
        <w:contextualSpacing/>
        <w:rPr>
          <w:rFonts w:ascii="Times New Roman" w:hAnsi="Times New Roman" w:cs="Times New Roman"/>
          <w:color w:val="000000" w:themeColor="text1"/>
          <w:sz w:val="24"/>
          <w:szCs w:val="24"/>
        </w:rPr>
      </w:pPr>
      <w:r w:rsidRPr="007500A8">
        <w:rPr>
          <w:rFonts w:ascii="Times New Roman" w:hAnsi="Times New Roman" w:cs="Times New Roman"/>
          <w:color w:val="000000" w:themeColor="text1"/>
          <w:sz w:val="24"/>
          <w:szCs w:val="24"/>
        </w:rPr>
        <w:t xml:space="preserve">(c) </w:t>
      </w:r>
      <w:r>
        <w:rPr>
          <w:rFonts w:ascii="Times New Roman" w:hAnsi="Times New Roman" w:cs="Times New Roman"/>
          <w:color w:val="000000" w:themeColor="text1"/>
          <w:sz w:val="24"/>
          <w:szCs w:val="24"/>
        </w:rPr>
        <w:t xml:space="preserve">All </w:t>
      </w:r>
      <w:r w:rsidRPr="007500A8">
        <w:rPr>
          <w:rFonts w:ascii="Times New Roman" w:hAnsi="Times New Roman" w:cs="Times New Roman"/>
          <w:color w:val="000000" w:themeColor="text1"/>
          <w:sz w:val="24"/>
          <w:szCs w:val="24"/>
        </w:rPr>
        <w:t>property located within the zone is eligible for this program with the exception of any occupied residential unit.</w:t>
      </w:r>
    </w:p>
    <w:p w:rsidR="00811EFB" w:rsidRPr="007500A8" w:rsidRDefault="00811EFB" w:rsidP="00811EFB">
      <w:pPr>
        <w:spacing w:line="480" w:lineRule="auto"/>
        <w:contextualSpacing/>
        <w:rPr>
          <w:rFonts w:ascii="Times New Roman" w:hAnsi="Times New Roman" w:cs="Times New Roman"/>
          <w:color w:val="000000" w:themeColor="text1"/>
          <w:sz w:val="24"/>
          <w:szCs w:val="24"/>
        </w:rPr>
      </w:pPr>
      <w:r w:rsidRPr="007500A8">
        <w:rPr>
          <w:rFonts w:ascii="Times New Roman" w:hAnsi="Times New Roman" w:cs="Times New Roman"/>
          <w:color w:val="000000" w:themeColor="text1"/>
          <w:sz w:val="24"/>
          <w:szCs w:val="24"/>
        </w:rPr>
        <w:t>(d) Gateway Cities may offer full or partial property tax abatement within Residential Tax Abatement Zones on any incremental improvements to vacant or under-utilized property.</w:t>
      </w:r>
    </w:p>
    <w:p w:rsidR="00811EFB" w:rsidRPr="007500A8" w:rsidRDefault="00811EFB" w:rsidP="00811EFB">
      <w:pPr>
        <w:spacing w:line="480" w:lineRule="auto"/>
        <w:contextualSpacing/>
        <w:rPr>
          <w:rFonts w:ascii="Times New Roman" w:hAnsi="Times New Roman" w:cs="Times New Roman"/>
          <w:color w:val="000000" w:themeColor="text1"/>
          <w:sz w:val="24"/>
          <w:szCs w:val="24"/>
        </w:rPr>
      </w:pPr>
      <w:r w:rsidRPr="007500A8">
        <w:rPr>
          <w:rFonts w:ascii="Times New Roman" w:hAnsi="Times New Roman" w:cs="Times New Roman"/>
          <w:color w:val="000000" w:themeColor="text1"/>
          <w:sz w:val="24"/>
          <w:szCs w:val="24"/>
        </w:rPr>
        <w:t xml:space="preserve">(e) The length of the abatement period will be designated for not fewer than ten years and not greater than twelve years.  </w:t>
      </w:r>
    </w:p>
    <w:p w:rsidR="00811EFB" w:rsidRPr="007500A8" w:rsidRDefault="00811EFB" w:rsidP="00811EFB">
      <w:pPr>
        <w:spacing w:line="480" w:lineRule="auto"/>
        <w:contextualSpacing/>
        <w:rPr>
          <w:rFonts w:ascii="Times New Roman" w:hAnsi="Times New Roman" w:cs="Times New Roman"/>
          <w:color w:val="000000" w:themeColor="text1"/>
          <w:sz w:val="24"/>
          <w:szCs w:val="24"/>
        </w:rPr>
      </w:pPr>
      <w:r w:rsidRPr="007500A8">
        <w:rPr>
          <w:rFonts w:ascii="Times New Roman" w:hAnsi="Times New Roman" w:cs="Times New Roman"/>
          <w:color w:val="000000" w:themeColor="text1"/>
          <w:sz w:val="24"/>
          <w:szCs w:val="24"/>
        </w:rPr>
        <w:t xml:space="preserve">(f) At the conclusion of the abatement period, Gateway Cities may offer a reduced property tax rate in the Residential Tax Abatement Zone for a period of up to three years. During each year of </w:t>
      </w:r>
      <w:r w:rsidRPr="007500A8">
        <w:rPr>
          <w:rFonts w:ascii="Times New Roman" w:hAnsi="Times New Roman" w:cs="Times New Roman"/>
          <w:color w:val="000000" w:themeColor="text1"/>
          <w:sz w:val="24"/>
          <w:szCs w:val="24"/>
        </w:rPr>
        <w:lastRenderedPageBreak/>
        <w:t>this period, Gateway Cities may incrementally increase the abatement tax rate in order to ease the transition back to the full property tax burden.</w:t>
      </w:r>
    </w:p>
    <w:p w:rsidR="00811EFB" w:rsidRPr="007500A8" w:rsidRDefault="00811EFB" w:rsidP="00811EFB">
      <w:pPr>
        <w:spacing w:line="480" w:lineRule="auto"/>
        <w:contextualSpacing/>
        <w:rPr>
          <w:rFonts w:ascii="Times New Roman" w:hAnsi="Times New Roman" w:cs="Times New Roman"/>
          <w:color w:val="000000" w:themeColor="text1"/>
          <w:sz w:val="24"/>
          <w:szCs w:val="24"/>
        </w:rPr>
      </w:pPr>
      <w:r w:rsidRPr="007500A8">
        <w:rPr>
          <w:rFonts w:ascii="Times New Roman" w:hAnsi="Times New Roman" w:cs="Times New Roman"/>
          <w:color w:val="000000" w:themeColor="text1"/>
          <w:sz w:val="24"/>
          <w:szCs w:val="24"/>
        </w:rPr>
        <w:t>(g) The Department of Revenue shall promulgate rules and regulations, including the above referenced guidelines.</w:t>
      </w:r>
    </w:p>
    <w:p w:rsidR="000D101F" w:rsidRDefault="00811EFB">
      <w:pPr>
        <w:spacing w:line="336" w:lineRule="auto"/>
      </w:pPr>
      <w:r>
        <w:rPr>
          <w:rFonts w:ascii="Times New Roman"/>
        </w:rPr>
        <w:tab/>
      </w:r>
    </w:p>
    <w:sectPr w:rsidR="000D101F" w:rsidSect="000D101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D101F"/>
    <w:rsid w:val="000D101F"/>
    <w:rsid w:val="004C686C"/>
    <w:rsid w:val="00811E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68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686C"/>
    <w:rPr>
      <w:rFonts w:ascii="Tahoma" w:hAnsi="Tahoma" w:cs="Tahoma"/>
      <w:sz w:val="16"/>
      <w:szCs w:val="16"/>
    </w:rPr>
  </w:style>
  <w:style w:type="character" w:styleId="LineNumber">
    <w:name w:val="line number"/>
    <w:basedOn w:val="DefaultParagraphFont"/>
    <w:uiPriority w:val="99"/>
    <w:semiHidden/>
    <w:unhideWhenUsed/>
    <w:rsid w:val="004C686C"/>
  </w:style>
  <w:style w:type="paragraph" w:styleId="NormalWeb">
    <w:name w:val="Normal (Web)"/>
    <w:basedOn w:val="Normal"/>
    <w:uiPriority w:val="99"/>
    <w:unhideWhenUsed/>
    <w:rsid w:val="004C68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4C686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573</Words>
  <Characters>3268</Characters>
  <Application>Microsoft Office Word</Application>
  <DocSecurity>0</DocSecurity>
  <Lines>27</Lines>
  <Paragraphs>7</Paragraphs>
  <ScaleCrop>false</ScaleCrop>
  <Company>Massachusetts Legislature</Company>
  <LinksUpToDate>false</LinksUpToDate>
  <CharactersWithSpaces>3834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2009-01-12T23:27:00Z</dcterms:created>
  <dcterms:modified xsi:type="dcterms:W3CDTF">2009-01-12T23:30:00Z</dcterms:modified>
</cp:coreProperties>
</file>