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70" w:rsidRDefault="0048754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66370" w:rsidRDefault="0048754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8754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66370" w:rsidRDefault="0048754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66370" w:rsidRDefault="0048754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6370" w:rsidRDefault="0048754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66370" w:rsidRDefault="0048754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Walter F. Timilty</w:t>
      </w:r>
    </w:p>
    <w:p w:rsidR="00F66370" w:rsidRDefault="0048754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6370" w:rsidRDefault="0048754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66370" w:rsidRDefault="0048754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66370" w:rsidRDefault="0048754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Private S</w:t>
      </w:r>
      <w:r>
        <w:rPr>
          <w:rFonts w:ascii="Times New Roman"/>
          <w:sz w:val="24"/>
        </w:rPr>
        <w:t>chool Bonding.</w:t>
      </w:r>
      <w:proofErr w:type="gramEnd"/>
    </w:p>
    <w:p w:rsidR="00F66370" w:rsidRDefault="0048754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6370" w:rsidRDefault="0048754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66370" w:rsidRDefault="00F6637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6637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6370" w:rsidRDefault="0048754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66370" w:rsidRDefault="0048754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6637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66370" w:rsidRDefault="0048754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F66370" w:rsidRDefault="0048754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</w:tbl>
      </w:sdtContent>
    </w:sdt>
    <w:p w:rsidR="00F66370" w:rsidRDefault="0048754B">
      <w:pPr>
        <w:suppressLineNumbers/>
      </w:pPr>
      <w:r>
        <w:br w:type="page"/>
      </w:r>
    </w:p>
    <w:p w:rsidR="00F66370" w:rsidRDefault="0048754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66370" w:rsidRDefault="0048754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6370" w:rsidRDefault="0048754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66370" w:rsidRDefault="0048754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6370" w:rsidRDefault="0048754B">
      <w:pPr>
        <w:suppressLineNumbers/>
        <w:spacing w:after="2"/>
      </w:pPr>
      <w:r>
        <w:rPr>
          <w:sz w:val="14"/>
        </w:rPr>
        <w:br/>
      </w:r>
      <w:r>
        <w:br/>
      </w:r>
    </w:p>
    <w:p w:rsidR="00F66370" w:rsidRDefault="0048754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Private School Bonding.</w:t>
      </w:r>
      <w:proofErr w:type="gramEnd"/>
      <w:r>
        <w:br/>
      </w:r>
      <w:r>
        <w:br/>
      </w:r>
      <w:r>
        <w:br/>
      </w:r>
    </w:p>
    <w:p w:rsidR="00F66370" w:rsidRDefault="0048754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66370" w:rsidRDefault="0048754B" w:rsidP="0048754B">
      <w:r>
        <w:rPr>
          <w:rFonts w:ascii="Times New Roman"/>
        </w:rPr>
        <w:tab/>
      </w:r>
      <w:proofErr w:type="gramStart"/>
      <w:r>
        <w:rPr>
          <w:bCs/>
        </w:rPr>
        <w:t>SECTION 1.</w:t>
      </w:r>
      <w:proofErr w:type="gramEnd"/>
      <w:r>
        <w:rPr>
          <w:bCs/>
        </w:rPr>
        <w:t xml:space="preserve">  Notwithstanding any general or special law to the contrary, any nonprofit agency that </w:t>
      </w:r>
      <w:proofErr w:type="gramStart"/>
      <w:r>
        <w:rPr>
          <w:bCs/>
        </w:rPr>
        <w:t>has  501</w:t>
      </w:r>
      <w:proofErr w:type="gramEnd"/>
      <w:r>
        <w:rPr>
          <w:bCs/>
        </w:rPr>
        <w:t xml:space="preserve">(c) (3) status, shall be able to use both the Massachusetts Health and Educational Facilities Authority and the Massachusetts Development when attempting to bond out construction projects.  </w:t>
      </w:r>
    </w:p>
    <w:sectPr w:rsidR="00F66370" w:rsidSect="00F6637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6370"/>
    <w:rsid w:val="0048754B"/>
    <w:rsid w:val="00F6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4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875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>LEG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wtimilty</cp:lastModifiedBy>
  <cp:revision>2</cp:revision>
  <dcterms:created xsi:type="dcterms:W3CDTF">2009-01-14T19:34:00Z</dcterms:created>
  <dcterms:modified xsi:type="dcterms:W3CDTF">2009-01-14T19:34:00Z</dcterms:modified>
</cp:coreProperties>
</file>