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6D" w:rsidRDefault="006E758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F2B6D" w:rsidRDefault="006E758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E758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2B6D" w:rsidRDefault="006E75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B6D" w:rsidRDefault="006E758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BF2B6D" w:rsidRDefault="006E758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B6D" w:rsidRDefault="006E758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2B6D" w:rsidRDefault="006E758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2B6D" w:rsidRDefault="006E758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taxable i</w:t>
      </w:r>
      <w:r>
        <w:rPr>
          <w:rFonts w:ascii="Times New Roman"/>
          <w:sz w:val="24"/>
        </w:rPr>
        <w:t>ncome.</w:t>
      </w:r>
      <w:proofErr w:type="gramEnd"/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B6D" w:rsidRDefault="006E758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2B6D" w:rsidRDefault="00BF2B6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2B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2B6D" w:rsidRDefault="006E75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2B6D" w:rsidRDefault="006E75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2B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F2B6D" w:rsidRDefault="006E75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BF2B6D" w:rsidRDefault="006E75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BF2B6D" w:rsidRDefault="006E7589">
      <w:pPr>
        <w:suppressLineNumbers/>
      </w:pPr>
      <w:r>
        <w:br w:type="page"/>
      </w:r>
    </w:p>
    <w:p w:rsidR="00BF2B6D" w:rsidRDefault="006E75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2B6D" w:rsidRDefault="006E75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B6D" w:rsidRDefault="006E7589">
      <w:pPr>
        <w:suppressLineNumbers/>
        <w:spacing w:after="2"/>
      </w:pPr>
      <w:r>
        <w:rPr>
          <w:sz w:val="14"/>
        </w:rPr>
        <w:br/>
      </w:r>
      <w:r>
        <w:br/>
      </w:r>
    </w:p>
    <w:p w:rsidR="00BF2B6D" w:rsidRDefault="006E758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taxable income.</w:t>
      </w:r>
      <w:proofErr w:type="gramEnd"/>
      <w:r>
        <w:br/>
      </w:r>
      <w:r>
        <w:br/>
      </w:r>
      <w:r>
        <w:br/>
      </w:r>
    </w:p>
    <w:p w:rsidR="00BF2B6D" w:rsidRDefault="006E758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7589" w:rsidRPr="002A3E81" w:rsidRDefault="006E7589" w:rsidP="006E7589">
      <w:pPr>
        <w:rPr>
          <w:rFonts w:ascii="Arial" w:hAnsi="Arial" w:cs="Arial"/>
          <w:sz w:val="24"/>
          <w:szCs w:val="24"/>
        </w:rPr>
      </w:pPr>
      <w:r>
        <w:rPr>
          <w:rFonts w:ascii="Times New Roman"/>
        </w:rPr>
        <w:tab/>
      </w:r>
      <w:r>
        <w:rPr>
          <w:rFonts w:ascii="Arial" w:hAnsi="Arial" w:cs="Arial"/>
          <w:sz w:val="24"/>
          <w:szCs w:val="24"/>
        </w:rPr>
        <w:t>Subsection</w:t>
      </w:r>
      <w:r w:rsidRPr="002A3E81">
        <w:rPr>
          <w:rFonts w:ascii="Arial" w:hAnsi="Arial" w:cs="Arial"/>
          <w:sz w:val="24"/>
          <w:szCs w:val="24"/>
        </w:rPr>
        <w:t xml:space="preserve"> B </w:t>
      </w:r>
      <w:r>
        <w:rPr>
          <w:rFonts w:ascii="Arial" w:hAnsi="Arial" w:cs="Arial"/>
          <w:sz w:val="24"/>
          <w:szCs w:val="24"/>
        </w:rPr>
        <w:t xml:space="preserve"> </w:t>
      </w:r>
      <w:r w:rsidRPr="002A3E81">
        <w:rPr>
          <w:rFonts w:ascii="Arial" w:hAnsi="Arial" w:cs="Arial"/>
          <w:sz w:val="24"/>
          <w:szCs w:val="24"/>
        </w:rPr>
        <w:t>of Section 3 of Chapter 62 of the General Laws as appearing in the 2006 Official Edition is hereby amended by inserting after subparagraph (15) the following subparagraph:-</w:t>
      </w:r>
    </w:p>
    <w:p w:rsidR="006E7589" w:rsidRPr="002A3E81" w:rsidRDefault="006E7589" w:rsidP="006E7589">
      <w:pPr>
        <w:rPr>
          <w:rFonts w:ascii="Arial" w:hAnsi="Arial" w:cs="Arial"/>
          <w:sz w:val="24"/>
          <w:szCs w:val="24"/>
        </w:rPr>
      </w:pPr>
      <w:r w:rsidRPr="002A3E81">
        <w:rPr>
          <w:rFonts w:ascii="Arial" w:hAnsi="Arial" w:cs="Arial"/>
          <w:sz w:val="24"/>
          <w:szCs w:val="24"/>
        </w:rPr>
        <w:t xml:space="preserve">   (16)  In the case of an individual whose employer provides a qualified transportation fringe benefit pursuant to Section 132 of the Internal Revenue Code</w:t>
      </w:r>
      <w:r>
        <w:rPr>
          <w:rFonts w:ascii="Arial" w:hAnsi="Arial" w:cs="Arial"/>
          <w:sz w:val="24"/>
          <w:szCs w:val="24"/>
        </w:rPr>
        <w:t>, notwithstanding any general or special law to the contrary</w:t>
      </w:r>
      <w:r w:rsidRPr="002A3E81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monthly</w:t>
      </w:r>
      <w:r w:rsidRPr="002A3E81">
        <w:rPr>
          <w:rFonts w:ascii="Arial" w:hAnsi="Arial" w:cs="Arial"/>
          <w:sz w:val="24"/>
          <w:szCs w:val="24"/>
        </w:rPr>
        <w:t xml:space="preserve"> limit</w:t>
      </w:r>
      <w:r>
        <w:rPr>
          <w:rFonts w:ascii="Arial" w:hAnsi="Arial" w:cs="Arial"/>
          <w:sz w:val="24"/>
          <w:szCs w:val="24"/>
        </w:rPr>
        <w:t>s</w:t>
      </w:r>
      <w:r w:rsidRPr="002A3E81">
        <w:rPr>
          <w:rFonts w:ascii="Arial" w:hAnsi="Arial" w:cs="Arial"/>
          <w:sz w:val="24"/>
          <w:szCs w:val="24"/>
        </w:rPr>
        <w:t xml:space="preserve"> on the </w:t>
      </w:r>
      <w:r>
        <w:rPr>
          <w:rFonts w:ascii="Arial" w:hAnsi="Arial" w:cs="Arial"/>
          <w:sz w:val="24"/>
          <w:szCs w:val="24"/>
        </w:rPr>
        <w:t xml:space="preserve">dollar value of qualified transportation fringe benefits that an employer may provide to an employee and exclude from the employee’s gross income shall be equal </w:t>
      </w:r>
      <w:r w:rsidRPr="002A3E81">
        <w:rPr>
          <w:rFonts w:ascii="Arial" w:hAnsi="Arial" w:cs="Arial"/>
          <w:sz w:val="24"/>
          <w:szCs w:val="24"/>
        </w:rPr>
        <w:t xml:space="preserve">said employee purchases a monthly transit pass, </w:t>
      </w:r>
      <w:r>
        <w:rPr>
          <w:rFonts w:ascii="Arial" w:hAnsi="Arial" w:cs="Arial"/>
          <w:sz w:val="24"/>
          <w:szCs w:val="24"/>
        </w:rPr>
        <w:t xml:space="preserve">uses a </w:t>
      </w:r>
      <w:r w:rsidRPr="002A3E81">
        <w:rPr>
          <w:rFonts w:ascii="Arial" w:hAnsi="Arial" w:cs="Arial"/>
          <w:sz w:val="24"/>
          <w:szCs w:val="24"/>
        </w:rPr>
        <w:t xml:space="preserve">commuter highway </w:t>
      </w:r>
      <w:r>
        <w:rPr>
          <w:rFonts w:ascii="Arial" w:hAnsi="Arial" w:cs="Arial"/>
          <w:sz w:val="24"/>
          <w:szCs w:val="24"/>
        </w:rPr>
        <w:t>vehicle</w:t>
      </w:r>
      <w:r w:rsidRPr="002A3E81">
        <w:rPr>
          <w:rFonts w:ascii="Arial" w:hAnsi="Arial" w:cs="Arial"/>
          <w:sz w:val="24"/>
          <w:szCs w:val="24"/>
        </w:rPr>
        <w:t xml:space="preserve"> or pay</w:t>
      </w:r>
      <w:r>
        <w:rPr>
          <w:rFonts w:ascii="Arial" w:hAnsi="Arial" w:cs="Arial"/>
          <w:sz w:val="24"/>
          <w:szCs w:val="24"/>
        </w:rPr>
        <w:t>s</w:t>
      </w:r>
      <w:r w:rsidRPr="002A3E81">
        <w:rPr>
          <w:rFonts w:ascii="Arial" w:hAnsi="Arial" w:cs="Arial"/>
          <w:sz w:val="24"/>
          <w:szCs w:val="24"/>
        </w:rPr>
        <w:t xml:space="preserve"> for qualified parking</w:t>
      </w:r>
      <w:r>
        <w:rPr>
          <w:rFonts w:ascii="Arial" w:hAnsi="Arial" w:cs="Arial"/>
          <w:sz w:val="24"/>
          <w:szCs w:val="24"/>
        </w:rPr>
        <w:t xml:space="preserve"> as defined in Section 132 of the Code.</w:t>
      </w:r>
    </w:p>
    <w:p w:rsidR="00BF2B6D" w:rsidRDefault="00BF2B6D">
      <w:pPr>
        <w:spacing w:line="336" w:lineRule="auto"/>
      </w:pPr>
    </w:p>
    <w:sectPr w:rsidR="00BF2B6D" w:rsidSect="00BF2B6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B6D"/>
    <w:rsid w:val="006E7589"/>
    <w:rsid w:val="00BF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75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1337</Characters>
  <Application>Microsoft Office Word</Application>
  <DocSecurity>0</DocSecurity>
  <Lines>11</Lines>
  <Paragraphs>3</Paragraphs>
  <ScaleCrop>false</ScaleCrop>
  <Company>LEG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clundberg</cp:lastModifiedBy>
  <cp:revision>2</cp:revision>
  <dcterms:created xsi:type="dcterms:W3CDTF">2009-01-14T17:50:00Z</dcterms:created>
  <dcterms:modified xsi:type="dcterms:W3CDTF">2009-01-14T17:58:00Z</dcterms:modified>
</cp:coreProperties>
</file>