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C4214A" w:rsidRDefault="008E724B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C4214A" w:rsidRDefault="008E724B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8E72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C4214A" w:rsidRDefault="008E724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C4214A" w:rsidRDefault="008E724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4214A" w:rsidRDefault="008E724B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C4214A" w:rsidRDefault="008E724B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Angelo M. Scaccia</w:t>
      </w:r>
    </w:p>
    <w:p w:rsidR="00C4214A" w:rsidRDefault="008E724B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4214A" w:rsidRDefault="008E724B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C4214A" w:rsidRDefault="008E724B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C4214A" w:rsidRDefault="008E724B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investmen</w:t>
      </w:r>
      <w:r>
        <w:rPr>
          <w:rFonts w:ascii="Times New Roman"/>
          <w:sz w:val="24"/>
        </w:rPr>
        <w:t>t adviser registration.</w:t>
      </w:r>
      <w:proofErr w:type="gramEnd"/>
    </w:p>
    <w:p w:rsidR="00C4214A" w:rsidRDefault="008E724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4214A" w:rsidRDefault="008E724B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C4214A" w:rsidRDefault="00C4214A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Angelo M. Scaccia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14th Suffolk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William F. Galvin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Secretary of the Commonwealth</w:t>
                </w:r>
              </w:p>
            </w:tc>
          </w:tr>
        </w:tbl>
      </w:sdtContent>
    </w:sdt>
    <w:p w:rsidR="00C4214A" w:rsidRDefault="008E724B">
      <w:pPr>
        <w:suppressLineNumbers/>
      </w:pPr>
      <w:r>
        <w:br w:type="page"/>
      </w:r>
    </w:p>
    <w:p w:rsidR="00C4214A" w:rsidRDefault="008E724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C4214A" w:rsidRDefault="008E724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4214A" w:rsidRDefault="008E724B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C4214A" w:rsidRDefault="008E724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4214A" w:rsidRDefault="008E724B">
      <w:pPr>
        <w:suppressLineNumbers/>
        <w:spacing w:after="2"/>
      </w:pPr>
      <w:r>
        <w:rPr>
          <w:sz w:val="14"/>
        </w:rPr>
        <w:br/>
      </w:r>
      <w:r>
        <w:br/>
      </w:r>
    </w:p>
    <w:p w:rsidR="00C4214A" w:rsidRDefault="008E724B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investment adviser registration.</w:t>
      </w:r>
      <w:proofErr w:type="gramEnd"/>
      <w:r>
        <w:br/>
      </w:r>
      <w:r>
        <w:br/>
      </w:r>
      <w:r>
        <w:br/>
      </w:r>
    </w:p>
    <w:p w:rsidR="00C4214A" w:rsidRDefault="008E724B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8E724B" w:rsidP="008E724B" w:rsidRDefault="008E724B">
      <w:proofErr w:type="gramStart"/>
      <w:r>
        <w:rPr>
          <w:sz w:val="28"/>
          <w:szCs w:val="28"/>
        </w:rPr>
        <w:t>SECTION 1.</w:t>
      </w:r>
      <w:proofErr w:type="gramEnd"/>
    </w:p>
    <w:p w:rsidR="00C4214A" w:rsidP="008E724B" w:rsidRDefault="008E724B">
      <w:pPr>
        <w:spacing w:line="480" w:lineRule="auto"/>
      </w:pPr>
      <w:r>
        <w:t xml:space="preserve">Section 202(a) of chapter 110A of the General Laws, as appearing in the 2007 Official Edition, is hereby amended by adding the following:  Notwithstanding the above, those investment advisers, registered with the Division and with a principal place of business located in Massachusetts, who have custody, as defined in the Form ADV, over their clients’ funds and/or securities, to maintain those funds and/or securities with a qualified custodian as defined in Rule 206(4)-2 under the Investment Advisers Act of 1940.  Failure to comply with this requirement shall be grounds to deny or revoke the investment adviser’s registration under section 204 of this chapter.  </w:t>
      </w:r>
    </w:p>
    <w:sectPr w:rsidR="00C4214A" w:rsidSect="00C4214A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characterSpacingControl w:val="doNotCompress"/>
  <w:compat>
    <w:useFELayout/>
  </w:compat>
  <w:rsids>
    <w:rsidRoot w:val="00C4214A"/>
    <w:rsid w:val="008E724B"/>
    <w:rsid w:val="00C42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7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24B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8E724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237</Words>
  <Characters>1354</Characters>
  <Application>Microsoft Office Word</Application>
  <DocSecurity>0</DocSecurity>
  <Lines>11</Lines>
  <Paragraphs>3</Paragraphs>
  <ScaleCrop>false</ScaleCrop>
  <Company>Massachusetts Legislature</Company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mmatta</cp:lastModifiedBy>
  <cp:revision>2</cp:revision>
  <dcterms:created xsi:type="dcterms:W3CDTF">2009-01-14T22:35:00Z</dcterms:created>
  <dcterms:modified xsi:type="dcterms:W3CDTF">2009-01-14T22:36:00Z</dcterms:modified>
</cp:coreProperties>
</file>