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472" w:rsidRDefault="008D6215">
      <w:pPr>
        <w:suppressLineNumbers/>
        <w:spacing w:after="2"/>
        <w:jc w:val="center"/>
      </w:pPr>
      <w:r>
        <w:rPr>
          <w:rFonts w:ascii="Arial"/>
          <w:sz w:val="18"/>
        </w:rPr>
        <w:t>HOUSE DOCKET, NO.         FILED ON: 1/13/2009</w:t>
      </w:r>
    </w:p>
    <w:p w:rsidR="004E5472" w:rsidRDefault="008D621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6215" w:rsidP="00DB534B">
            <w:pPr>
              <w:suppressLineNumbers/>
              <w:jc w:val="right"/>
              <w:rPr>
                <w:b/>
                <w:sz w:val="28"/>
              </w:rPr>
            </w:pPr>
          </w:p>
        </w:tc>
      </w:tr>
    </w:tbl>
    <w:p w:rsidR="004E5472" w:rsidRDefault="008D6215">
      <w:pPr>
        <w:suppressLineNumbers/>
        <w:spacing w:before="2" w:after="2"/>
        <w:jc w:val="center"/>
      </w:pPr>
      <w:r>
        <w:rPr>
          <w:rFonts w:ascii="Old English Text MT"/>
          <w:sz w:val="32"/>
        </w:rPr>
        <w:t>The Commonwealth of Massachusetts</w:t>
      </w:r>
    </w:p>
    <w:p w:rsidR="004E5472" w:rsidRDefault="008D6215">
      <w:pPr>
        <w:suppressLineNumbers/>
        <w:spacing w:after="2"/>
        <w:jc w:val="center"/>
      </w:pPr>
      <w:r>
        <w:rPr>
          <w:rFonts w:ascii="Times New Roman"/>
          <w:b/>
          <w:sz w:val="32"/>
          <w:vertAlign w:val="superscript"/>
        </w:rPr>
        <w:t>_______________</w:t>
      </w:r>
    </w:p>
    <w:p w:rsidR="004E5472" w:rsidRDefault="008D6215">
      <w:pPr>
        <w:suppressLineNumbers/>
        <w:spacing w:before="2"/>
        <w:jc w:val="center"/>
      </w:pPr>
      <w:r>
        <w:rPr>
          <w:rFonts w:ascii="Times New Roman"/>
          <w:sz w:val="20"/>
        </w:rPr>
        <w:t>PRESENTED BY:</w:t>
      </w:r>
    </w:p>
    <w:p w:rsidR="004E5472" w:rsidRDefault="008D6215">
      <w:pPr>
        <w:suppressLineNumbers/>
        <w:spacing w:after="2"/>
        <w:jc w:val="center"/>
      </w:pPr>
      <w:r>
        <w:rPr>
          <w:rFonts w:ascii="Times New Roman"/>
          <w:b/>
          <w:sz w:val="24"/>
        </w:rPr>
        <w:t>Michael J. Rodrigues</w:t>
      </w:r>
    </w:p>
    <w:p w:rsidR="004E5472" w:rsidRDefault="008D6215">
      <w:pPr>
        <w:suppressLineNumbers/>
        <w:jc w:val="center"/>
      </w:pPr>
      <w:r>
        <w:rPr>
          <w:rFonts w:ascii="Times New Roman"/>
          <w:b/>
          <w:sz w:val="32"/>
          <w:vertAlign w:val="superscript"/>
        </w:rPr>
        <w:t>_______________</w:t>
      </w:r>
    </w:p>
    <w:p w:rsidR="004E5472" w:rsidRDefault="008D62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5472" w:rsidRDefault="008D6215">
      <w:pPr>
        <w:suppressLineNumbers/>
      </w:pPr>
      <w:r>
        <w:rPr>
          <w:rFonts w:ascii="Times New Roman"/>
          <w:sz w:val="20"/>
        </w:rPr>
        <w:tab/>
        <w:t>The undersigned legislators and/or citizens respectfully petition for the passage of the accompanying bill:</w:t>
      </w:r>
    </w:p>
    <w:p w:rsidR="004E5472" w:rsidRDefault="008D6215">
      <w:pPr>
        <w:suppressLineNumbers/>
        <w:spacing w:after="2"/>
        <w:jc w:val="center"/>
      </w:pPr>
      <w:proofErr w:type="gramStart"/>
      <w:r>
        <w:rPr>
          <w:rFonts w:ascii="Times New Roman"/>
          <w:sz w:val="24"/>
        </w:rPr>
        <w:t>An Act to safeguard municipa</w:t>
      </w:r>
      <w:r>
        <w:rPr>
          <w:rFonts w:ascii="Times New Roman"/>
          <w:sz w:val="24"/>
        </w:rPr>
        <w:t>l permitting.</w:t>
      </w:r>
      <w:proofErr w:type="gramEnd"/>
    </w:p>
    <w:p w:rsidR="004E5472" w:rsidRDefault="008D6215">
      <w:pPr>
        <w:suppressLineNumbers/>
        <w:spacing w:after="2"/>
        <w:jc w:val="center"/>
      </w:pPr>
      <w:r>
        <w:rPr>
          <w:rFonts w:ascii="Times New Roman"/>
          <w:b/>
          <w:sz w:val="32"/>
          <w:vertAlign w:val="superscript"/>
        </w:rPr>
        <w:t>_______________</w:t>
      </w:r>
    </w:p>
    <w:p w:rsidR="004E5472" w:rsidRDefault="008D6215">
      <w:pPr>
        <w:suppressLineNumbers/>
        <w:jc w:val="center"/>
      </w:pPr>
      <w:r>
        <w:rPr>
          <w:rFonts w:ascii="Times New Roman"/>
          <w:sz w:val="20"/>
        </w:rPr>
        <w:t>PETITION OF:</w:t>
      </w:r>
    </w:p>
    <w:p w:rsidR="004E5472" w:rsidRDefault="004E54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5472">
            <w:tblPrEx>
              <w:tblCellMar>
                <w:top w:w="0" w:type="dxa"/>
                <w:bottom w:w="0" w:type="dxa"/>
              </w:tblCellMar>
            </w:tblPrEx>
            <w:tc>
              <w:tcPr>
                <w:tcW w:w="4500" w:type="dxa"/>
                <w:tcBorders>
                  <w:top w:val="nil"/>
                  <w:bottom w:val="single" w:sz="4" w:space="0" w:color="auto"/>
                  <w:right w:val="single" w:sz="4" w:space="0" w:color="auto"/>
                </w:tcBorders>
              </w:tcPr>
              <w:p w:rsidR="004E5472" w:rsidRDefault="008D62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5472" w:rsidRDefault="008D6215">
                <w:pPr>
                  <w:suppressLineNumbers/>
                  <w:spacing w:after="2"/>
                  <w:rPr>
                    <w:smallCaps/>
                  </w:rPr>
                </w:pPr>
                <w:r>
                  <w:rPr>
                    <w:rFonts w:ascii="Times New Roman"/>
                    <w:smallCaps/>
                    <w:sz w:val="24"/>
                  </w:rPr>
                  <w:t>District/Address:</w:t>
                </w:r>
              </w:p>
            </w:tc>
          </w:tr>
          <w:tr w:rsidR="004E5472">
            <w:tblPrEx>
              <w:tblCellMar>
                <w:top w:w="0" w:type="dxa"/>
                <w:bottom w:w="0" w:type="dxa"/>
              </w:tblCellMar>
            </w:tblPrEx>
            <w:tc>
              <w:tcPr>
                <w:tcW w:w="4500" w:type="dxa"/>
              </w:tcPr>
              <w:p w:rsidR="004E5472" w:rsidRDefault="008D6215">
                <w:pPr>
                  <w:suppressLineNumbers/>
                  <w:spacing w:after="2"/>
                  <w:rPr>
                    <w:rFonts w:ascii="Times New Roman"/>
                  </w:rPr>
                </w:pPr>
                <w:r>
                  <w:rPr>
                    <w:rFonts w:ascii="Times New Roman"/>
                  </w:rPr>
                  <w:t>Michael J. Rodrigues</w:t>
                </w:r>
              </w:p>
            </w:tc>
            <w:tc>
              <w:tcPr>
                <w:tcW w:w="4500" w:type="dxa"/>
              </w:tcPr>
              <w:p w:rsidR="004E5472" w:rsidRDefault="008D6215">
                <w:pPr>
                  <w:suppressLineNumbers/>
                  <w:spacing w:after="2"/>
                  <w:rPr>
                    <w:rFonts w:ascii="Times New Roman"/>
                  </w:rPr>
                </w:pPr>
                <w:r>
                  <w:rPr>
                    <w:rFonts w:ascii="Times New Roman"/>
                  </w:rPr>
                  <w:t>8th Bristol</w:t>
                </w:r>
              </w:p>
            </w:tc>
          </w:tr>
        </w:tbl>
      </w:sdtContent>
    </w:sdt>
    <w:p w:rsidR="004E5472" w:rsidRDefault="008D6215">
      <w:pPr>
        <w:suppressLineNumbers/>
      </w:pPr>
      <w:r>
        <w:br w:type="page"/>
      </w:r>
    </w:p>
    <w:p w:rsidR="004E5472" w:rsidRDefault="008D6215">
      <w:pPr>
        <w:suppressLineNumbers/>
        <w:spacing w:before="2" w:after="2"/>
        <w:jc w:val="center"/>
      </w:pPr>
      <w:r>
        <w:rPr>
          <w:rFonts w:ascii="Old English Text MT"/>
          <w:sz w:val="32"/>
        </w:rPr>
        <w:lastRenderedPageBreak/>
        <w:t>The Commonwealth of Massachusetts</w:t>
      </w:r>
      <w:r>
        <w:rPr>
          <w:rFonts w:ascii="Old English Text MT"/>
          <w:sz w:val="32"/>
        </w:rPr>
        <w:br/>
      </w:r>
    </w:p>
    <w:p w:rsidR="004E5472" w:rsidRDefault="008D6215">
      <w:pPr>
        <w:suppressLineNumbers/>
        <w:spacing w:after="2"/>
        <w:jc w:val="center"/>
      </w:pPr>
      <w:r>
        <w:rPr>
          <w:rFonts w:ascii="Times New Roman"/>
          <w:b/>
          <w:sz w:val="24"/>
          <w:vertAlign w:val="superscript"/>
        </w:rPr>
        <w:t>_______________</w:t>
      </w:r>
    </w:p>
    <w:p w:rsidR="004E5472" w:rsidRDefault="008D6215">
      <w:pPr>
        <w:suppressLineNumbers/>
        <w:spacing w:after="2"/>
        <w:jc w:val="center"/>
      </w:pPr>
      <w:r>
        <w:rPr>
          <w:rFonts w:ascii="Times New Roman"/>
          <w:b/>
          <w:sz w:val="18"/>
        </w:rPr>
        <w:t>In the Year Two Thousand and Nine</w:t>
      </w:r>
    </w:p>
    <w:p w:rsidR="004E5472" w:rsidRDefault="008D6215">
      <w:pPr>
        <w:suppressLineNumbers/>
        <w:spacing w:after="2"/>
        <w:jc w:val="center"/>
      </w:pPr>
      <w:r>
        <w:rPr>
          <w:rFonts w:ascii="Times New Roman"/>
          <w:b/>
          <w:sz w:val="24"/>
          <w:vertAlign w:val="superscript"/>
        </w:rPr>
        <w:t>_______________</w:t>
      </w:r>
    </w:p>
    <w:p w:rsidR="004E5472" w:rsidRDefault="008D6215">
      <w:pPr>
        <w:suppressLineNumbers/>
        <w:spacing w:after="2"/>
      </w:pPr>
      <w:r>
        <w:rPr>
          <w:sz w:val="14"/>
        </w:rPr>
        <w:br/>
      </w:r>
      <w:r>
        <w:br/>
      </w:r>
    </w:p>
    <w:p w:rsidR="004E5472" w:rsidRDefault="008D6215">
      <w:pPr>
        <w:suppressLineNumbers/>
      </w:pPr>
      <w:proofErr w:type="gramStart"/>
      <w:r>
        <w:rPr>
          <w:rFonts w:ascii="Times New Roman"/>
          <w:smallCaps/>
          <w:sz w:val="28"/>
        </w:rPr>
        <w:t>An Act to safeguard municipal permitting.</w:t>
      </w:r>
      <w:proofErr w:type="gramEnd"/>
      <w:r>
        <w:br/>
      </w:r>
      <w:r>
        <w:br/>
      </w:r>
      <w:r>
        <w:br/>
      </w:r>
    </w:p>
    <w:p w:rsidR="004E5472" w:rsidRDefault="008D62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D6215" w:rsidRDefault="008D6215" w:rsidP="008D6215">
      <w:r>
        <w:rPr>
          <w:rFonts w:ascii="Times New Roman"/>
        </w:rPr>
        <w:tab/>
      </w:r>
      <w:proofErr w:type="gramStart"/>
      <w:r w:rsidRPr="00F21F11">
        <w:rPr>
          <w:b/>
        </w:rPr>
        <w:t>SECTION 1.</w:t>
      </w:r>
      <w:proofErr w:type="gramEnd"/>
      <w:r w:rsidRPr="00F21F11">
        <w:rPr>
          <w:b/>
        </w:rPr>
        <w:t xml:space="preserve"> </w:t>
      </w:r>
      <w:r>
        <w:rPr>
          <w:b/>
        </w:rPr>
        <w:t xml:space="preserve"> </w:t>
      </w:r>
      <w:r>
        <w:t>Section 6 of Chapter 40A is hereby amended by striking the second paragraph and replacing it with the following:</w:t>
      </w:r>
      <w:r>
        <w:br/>
      </w:r>
    </w:p>
    <w:p w:rsidR="004E5472" w:rsidRDefault="008D6215" w:rsidP="008D6215">
      <w:pPr>
        <w:pStyle w:val="NormalWeb"/>
        <w:spacing w:before="0" w:beforeAutospacing="0" w:after="0" w:afterAutospacing="0"/>
      </w:pPr>
      <w:r>
        <w:t>A zoning ordinance or by-law shall provide that construction or operations under a building permit shall conform to any subsequent amendment of the ordinance or by-law unless the use or construction is commenced within a period of not more than twelve months after the issuance of the permit and, in cases involving construction, unless such construction is continued through to completion as continuously and expeditiously as is reasonable.  Construction or operations under a special permit or site plan approval shall conform to any subsequent amendment of the zoning ordinance or by-law or of any other local land use regulations unless the use or construction is commenced within a period of two years after the issuance of the permit and, in cases involving construction, unless such construction is continued through to completion as continuously and expeditiously as is reasonable. For the purpose of the prior sentence, construction involving the redevelopment of previously disturbed land shall be deemed to have commenced upon substantial investment in site preparation and/or infrastructure construction, and construction of developments intended to proceed in phases shall proceed expeditiously, but not continuously, among phases.</w:t>
      </w:r>
    </w:p>
    <w:sectPr w:rsidR="004E5472" w:rsidSect="004E54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5472"/>
    <w:rsid w:val="004E5472"/>
    <w:rsid w:val="008D6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215"/>
    <w:rPr>
      <w:rFonts w:ascii="Tahoma" w:hAnsi="Tahoma" w:cs="Tahoma"/>
      <w:sz w:val="16"/>
      <w:szCs w:val="16"/>
    </w:rPr>
  </w:style>
  <w:style w:type="character" w:styleId="LineNumber">
    <w:name w:val="line number"/>
    <w:basedOn w:val="DefaultParagraphFont"/>
    <w:uiPriority w:val="99"/>
    <w:semiHidden/>
    <w:unhideWhenUsed/>
    <w:rsid w:val="008D6215"/>
  </w:style>
  <w:style w:type="paragraph" w:styleId="NormalWeb">
    <w:name w:val="Normal (Web)"/>
    <w:basedOn w:val="Normal"/>
    <w:rsid w:val="008D6215"/>
    <w:pPr>
      <w:spacing w:before="100" w:beforeAutospacing="1" w:after="100" w:afterAutospacing="1" w:line="240" w:lineRule="auto"/>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1889</Characters>
  <Application>Microsoft Office Word</Application>
  <DocSecurity>0</DocSecurity>
  <Lines>15</Lines>
  <Paragraphs>4</Paragraphs>
  <ScaleCrop>false</ScaleCrop>
  <Company>LEG</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2009-01-13T22:39:00Z</dcterms:created>
  <dcterms:modified xsi:type="dcterms:W3CDTF">2009-01-13T22:39:00Z</dcterms:modified>
</cp:coreProperties>
</file>