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76" w:rsidRDefault="00E263E7">
      <w:pPr>
        <w:suppressLineNumbers/>
        <w:spacing w:after="2"/>
        <w:jc w:val="center"/>
      </w:pPr>
      <w:r>
        <w:rPr>
          <w:rFonts w:ascii="Arial"/>
          <w:sz w:val="18"/>
        </w:rPr>
        <w:t>HOUSE DOCKET, NO.         FILED ON: 1/13/2009</w:t>
      </w:r>
    </w:p>
    <w:p w:rsidR="00D93776" w:rsidRDefault="00E263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63E7" w:rsidP="00DB534B">
            <w:pPr>
              <w:suppressLineNumbers/>
              <w:jc w:val="right"/>
              <w:rPr>
                <w:b/>
                <w:sz w:val="28"/>
              </w:rPr>
            </w:pPr>
          </w:p>
        </w:tc>
      </w:tr>
    </w:tbl>
    <w:p w:rsidR="00D93776" w:rsidRDefault="00E263E7">
      <w:pPr>
        <w:suppressLineNumbers/>
        <w:spacing w:before="2" w:after="2"/>
        <w:jc w:val="center"/>
      </w:pPr>
      <w:r>
        <w:rPr>
          <w:rFonts w:ascii="Old English Text MT"/>
          <w:sz w:val="32"/>
        </w:rPr>
        <w:t>The Commonwealth of Massachusetts</w:t>
      </w:r>
    </w:p>
    <w:p w:rsidR="00D93776" w:rsidRDefault="00E263E7">
      <w:pPr>
        <w:suppressLineNumbers/>
        <w:spacing w:after="2"/>
        <w:jc w:val="center"/>
      </w:pPr>
      <w:r>
        <w:rPr>
          <w:rFonts w:ascii="Times New Roman"/>
          <w:b/>
          <w:sz w:val="32"/>
          <w:vertAlign w:val="superscript"/>
        </w:rPr>
        <w:t>_______________</w:t>
      </w:r>
    </w:p>
    <w:p w:rsidR="00D93776" w:rsidRDefault="00E263E7">
      <w:pPr>
        <w:suppressLineNumbers/>
        <w:spacing w:before="2"/>
        <w:jc w:val="center"/>
      </w:pPr>
      <w:r>
        <w:rPr>
          <w:rFonts w:ascii="Times New Roman"/>
          <w:sz w:val="20"/>
        </w:rPr>
        <w:t>PRESENTED BY:</w:t>
      </w:r>
    </w:p>
    <w:p w:rsidR="00D93776" w:rsidRDefault="00E263E7">
      <w:pPr>
        <w:suppressLineNumbers/>
        <w:spacing w:after="2"/>
        <w:jc w:val="center"/>
      </w:pPr>
      <w:r>
        <w:rPr>
          <w:rFonts w:ascii="Times New Roman"/>
          <w:b/>
          <w:sz w:val="24"/>
        </w:rPr>
        <w:t>Michael J. Rodrigues</w:t>
      </w:r>
    </w:p>
    <w:p w:rsidR="00D93776" w:rsidRDefault="00E263E7">
      <w:pPr>
        <w:suppressLineNumbers/>
        <w:jc w:val="center"/>
      </w:pPr>
      <w:r>
        <w:rPr>
          <w:rFonts w:ascii="Times New Roman"/>
          <w:b/>
          <w:sz w:val="32"/>
          <w:vertAlign w:val="superscript"/>
        </w:rPr>
        <w:t>_______________</w:t>
      </w:r>
    </w:p>
    <w:p w:rsidR="00D93776" w:rsidRDefault="00E263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3776" w:rsidRDefault="00E263E7">
      <w:pPr>
        <w:suppressLineNumbers/>
      </w:pPr>
      <w:r>
        <w:rPr>
          <w:rFonts w:ascii="Times New Roman"/>
          <w:sz w:val="20"/>
        </w:rPr>
        <w:tab/>
        <w:t>The undersigned legislators and/or citizens respectfully petition for the passage of the accompanying bill:</w:t>
      </w:r>
    </w:p>
    <w:p w:rsidR="00D93776" w:rsidRDefault="00E263E7">
      <w:pPr>
        <w:suppressLineNumbers/>
        <w:spacing w:after="2"/>
        <w:jc w:val="center"/>
      </w:pPr>
      <w:proofErr w:type="gramStart"/>
      <w:r>
        <w:rPr>
          <w:rFonts w:ascii="Times New Roman"/>
          <w:sz w:val="24"/>
        </w:rPr>
        <w:t>An Act relative to reforming</w:t>
      </w:r>
      <w:r>
        <w:rPr>
          <w:rFonts w:ascii="Times New Roman"/>
          <w:sz w:val="24"/>
        </w:rPr>
        <w:t xml:space="preserve"> the state</w:t>
      </w:r>
      <w:r>
        <w:rPr>
          <w:rFonts w:ascii="Times New Roman"/>
          <w:sz w:val="24"/>
        </w:rPr>
        <w:t>’</w:t>
      </w:r>
      <w:r>
        <w:rPr>
          <w:rFonts w:ascii="Times New Roman"/>
          <w:sz w:val="24"/>
        </w:rPr>
        <w:t>s product liability system.</w:t>
      </w:r>
      <w:proofErr w:type="gramEnd"/>
    </w:p>
    <w:p w:rsidR="00D93776" w:rsidRDefault="00E263E7">
      <w:pPr>
        <w:suppressLineNumbers/>
        <w:spacing w:after="2"/>
        <w:jc w:val="center"/>
      </w:pPr>
      <w:r>
        <w:rPr>
          <w:rFonts w:ascii="Times New Roman"/>
          <w:b/>
          <w:sz w:val="32"/>
          <w:vertAlign w:val="superscript"/>
        </w:rPr>
        <w:t>_______________</w:t>
      </w:r>
    </w:p>
    <w:p w:rsidR="00D93776" w:rsidRDefault="00E263E7">
      <w:pPr>
        <w:suppressLineNumbers/>
        <w:jc w:val="center"/>
      </w:pPr>
      <w:r>
        <w:rPr>
          <w:rFonts w:ascii="Times New Roman"/>
          <w:sz w:val="20"/>
        </w:rPr>
        <w:t>PETITION OF:</w:t>
      </w:r>
    </w:p>
    <w:p w:rsidR="00D93776" w:rsidRDefault="00D937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3776">
            <w:tblPrEx>
              <w:tblCellMar>
                <w:top w:w="0" w:type="dxa"/>
                <w:bottom w:w="0" w:type="dxa"/>
              </w:tblCellMar>
            </w:tblPrEx>
            <w:tc>
              <w:tcPr>
                <w:tcW w:w="4500" w:type="dxa"/>
                <w:tcBorders>
                  <w:top w:val="nil"/>
                  <w:bottom w:val="single" w:sz="4" w:space="0" w:color="auto"/>
                  <w:right w:val="single" w:sz="4" w:space="0" w:color="auto"/>
                </w:tcBorders>
              </w:tcPr>
              <w:p w:rsidR="00D93776" w:rsidRDefault="00E263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3776" w:rsidRDefault="00E263E7">
                <w:pPr>
                  <w:suppressLineNumbers/>
                  <w:spacing w:after="2"/>
                  <w:rPr>
                    <w:smallCaps/>
                  </w:rPr>
                </w:pPr>
                <w:r>
                  <w:rPr>
                    <w:rFonts w:ascii="Times New Roman"/>
                    <w:smallCaps/>
                    <w:sz w:val="24"/>
                  </w:rPr>
                  <w:t>District/Address:</w:t>
                </w:r>
              </w:p>
            </w:tc>
          </w:tr>
          <w:tr w:rsidR="00D93776">
            <w:tblPrEx>
              <w:tblCellMar>
                <w:top w:w="0" w:type="dxa"/>
                <w:bottom w:w="0" w:type="dxa"/>
              </w:tblCellMar>
            </w:tblPrEx>
            <w:tc>
              <w:tcPr>
                <w:tcW w:w="4500" w:type="dxa"/>
              </w:tcPr>
              <w:p w:rsidR="00D93776" w:rsidRDefault="00E263E7">
                <w:pPr>
                  <w:suppressLineNumbers/>
                  <w:spacing w:after="2"/>
                  <w:rPr>
                    <w:rFonts w:ascii="Times New Roman"/>
                  </w:rPr>
                </w:pPr>
                <w:r>
                  <w:rPr>
                    <w:rFonts w:ascii="Times New Roman"/>
                  </w:rPr>
                  <w:t>Michael J. Rodrigues</w:t>
                </w:r>
              </w:p>
            </w:tc>
            <w:tc>
              <w:tcPr>
                <w:tcW w:w="4500" w:type="dxa"/>
              </w:tcPr>
              <w:p w:rsidR="00D93776" w:rsidRDefault="00E263E7">
                <w:pPr>
                  <w:suppressLineNumbers/>
                  <w:spacing w:after="2"/>
                  <w:rPr>
                    <w:rFonts w:ascii="Times New Roman"/>
                  </w:rPr>
                </w:pPr>
                <w:r>
                  <w:rPr>
                    <w:rFonts w:ascii="Times New Roman"/>
                  </w:rPr>
                  <w:t>8th Bristol</w:t>
                </w:r>
              </w:p>
            </w:tc>
          </w:tr>
        </w:tbl>
      </w:sdtContent>
    </w:sdt>
    <w:p w:rsidR="00D93776" w:rsidRDefault="00E263E7">
      <w:pPr>
        <w:suppressLineNumbers/>
      </w:pPr>
      <w:r>
        <w:br w:type="page"/>
      </w:r>
    </w:p>
    <w:p w:rsidR="00D93776" w:rsidRDefault="00E263E7">
      <w:pPr>
        <w:suppressLineNumbers/>
        <w:spacing w:before="2" w:after="2"/>
        <w:jc w:val="center"/>
      </w:pPr>
      <w:r>
        <w:rPr>
          <w:rFonts w:ascii="Old English Text MT"/>
          <w:sz w:val="32"/>
        </w:rPr>
        <w:lastRenderedPageBreak/>
        <w:t>The Commonwealth of Massachusetts</w:t>
      </w:r>
      <w:r>
        <w:rPr>
          <w:rFonts w:ascii="Old English Text MT"/>
          <w:sz w:val="32"/>
        </w:rPr>
        <w:br/>
      </w:r>
    </w:p>
    <w:p w:rsidR="00D93776" w:rsidRDefault="00E263E7">
      <w:pPr>
        <w:suppressLineNumbers/>
        <w:spacing w:after="2"/>
        <w:jc w:val="center"/>
      </w:pPr>
      <w:r>
        <w:rPr>
          <w:rFonts w:ascii="Times New Roman"/>
          <w:b/>
          <w:sz w:val="24"/>
          <w:vertAlign w:val="superscript"/>
        </w:rPr>
        <w:t>_______________</w:t>
      </w:r>
    </w:p>
    <w:p w:rsidR="00D93776" w:rsidRDefault="00E263E7">
      <w:pPr>
        <w:suppressLineNumbers/>
        <w:spacing w:after="2"/>
        <w:jc w:val="center"/>
      </w:pPr>
      <w:r>
        <w:rPr>
          <w:rFonts w:ascii="Times New Roman"/>
          <w:b/>
          <w:sz w:val="18"/>
        </w:rPr>
        <w:t>In the Year Two Thousand and Nine</w:t>
      </w:r>
    </w:p>
    <w:p w:rsidR="00D93776" w:rsidRDefault="00E263E7">
      <w:pPr>
        <w:suppressLineNumbers/>
        <w:spacing w:after="2"/>
        <w:jc w:val="center"/>
      </w:pPr>
      <w:r>
        <w:rPr>
          <w:rFonts w:ascii="Times New Roman"/>
          <w:b/>
          <w:sz w:val="24"/>
          <w:vertAlign w:val="superscript"/>
        </w:rPr>
        <w:t>_______________</w:t>
      </w:r>
    </w:p>
    <w:p w:rsidR="00D93776" w:rsidRDefault="00E263E7">
      <w:pPr>
        <w:suppressLineNumbers/>
        <w:spacing w:after="2"/>
      </w:pPr>
      <w:r>
        <w:rPr>
          <w:sz w:val="14"/>
        </w:rPr>
        <w:br/>
      </w:r>
      <w:r>
        <w:br/>
      </w:r>
    </w:p>
    <w:p w:rsidR="00D93776" w:rsidRDefault="00E263E7">
      <w:pPr>
        <w:suppressLineNumbers/>
      </w:pPr>
      <w:proofErr w:type="gramStart"/>
      <w:r>
        <w:rPr>
          <w:rFonts w:ascii="Times New Roman"/>
          <w:smallCaps/>
          <w:sz w:val="28"/>
        </w:rPr>
        <w:t>An Act relative to reforming the state</w:t>
      </w:r>
      <w:r>
        <w:rPr>
          <w:rFonts w:ascii="Times New Roman"/>
          <w:smallCaps/>
          <w:sz w:val="28"/>
        </w:rPr>
        <w:t>’</w:t>
      </w:r>
      <w:r>
        <w:rPr>
          <w:rFonts w:ascii="Times New Roman"/>
          <w:smallCaps/>
          <w:sz w:val="28"/>
        </w:rPr>
        <w:t>s product liability system.</w:t>
      </w:r>
      <w:proofErr w:type="gramEnd"/>
      <w:r>
        <w:br/>
      </w:r>
      <w:r>
        <w:br/>
      </w:r>
      <w:r>
        <w:br/>
      </w:r>
    </w:p>
    <w:p w:rsidR="00D93776" w:rsidRDefault="00E263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263E7" w:rsidRDefault="00E263E7" w:rsidP="00E263E7">
      <w:pPr>
        <w:pStyle w:val="NoSpacing"/>
      </w:pPr>
      <w:r>
        <w:rPr>
          <w:sz w:val="22"/>
        </w:rPr>
        <w:tab/>
      </w:r>
      <w:proofErr w:type="gramStart"/>
      <w:r>
        <w:t>SECTION 1.</w:t>
      </w:r>
      <w:proofErr w:type="gramEnd"/>
      <w:r>
        <w:t xml:space="preserve">  Chapter 231 of the General Laws, as appearing in the 2008 Official Edition, is hereby amended by adding after section 85Z the following new section:-</w:t>
      </w:r>
    </w:p>
    <w:p w:rsidR="00E263E7" w:rsidRDefault="00E263E7" w:rsidP="00E263E7">
      <w:pPr>
        <w:pStyle w:val="NoSpacing"/>
      </w:pPr>
      <w:proofErr w:type="gramStart"/>
      <w:r>
        <w:t>Section 85AA.</w:t>
      </w:r>
      <w:proofErr w:type="gramEnd"/>
      <w:r>
        <w:t xml:space="preserve">  A product supplier shall not be liable in any product liability action for harm caused by failure to provide adequate warning or instruction, unless the plaintiff proves by a preponderance of the evidence that, at the time the product left the control of the supplier, and in light of the technical, medical, and scientific knowledge available at the time the product left the control of the supplier, the supplier knew or reasonably should have known of the danger that caused the plaintiff’s harm and failed to provide adequate warning or instruction concerning such danger.</w:t>
      </w:r>
    </w:p>
    <w:p w:rsidR="00E263E7" w:rsidRDefault="00E263E7" w:rsidP="00E263E7">
      <w:pPr>
        <w:pStyle w:val="NoSpacing"/>
      </w:pPr>
    </w:p>
    <w:p w:rsidR="00E263E7" w:rsidRDefault="00E263E7" w:rsidP="00E263E7">
      <w:pPr>
        <w:pStyle w:val="NoSpacing"/>
      </w:pPr>
      <w:r>
        <w:t>A product supplier shall not be liable in any product liability action for harm caused by the design or formulation of a product, unless the plaintiff proves by a preponderance of the evidence that, at the time the product left the control of the supplier, an alternative design or formulation was commercially and technically feasible that would have prevented the harm for which the claimant seeks to recover compensatory damages without substantially impairing the utility of the product.</w:t>
      </w:r>
    </w:p>
    <w:p w:rsidR="00E263E7" w:rsidRDefault="00E263E7" w:rsidP="00E263E7">
      <w:pPr>
        <w:pStyle w:val="NoSpacing"/>
      </w:pPr>
    </w:p>
    <w:p w:rsidR="00E263E7" w:rsidRDefault="00E263E7" w:rsidP="00E263E7">
      <w:pPr>
        <w:pStyle w:val="NoSpacing"/>
      </w:pPr>
      <w:r>
        <w:t>For purposes of this section the term “product liability action” shall mean any action brought for, or on account of, death, personal injury or injury to property caused by a product which is claimed to be defectively designed, or for which it is claimed that an adequate warning or instruction was not provided, irrespective of whether such action is based on negligence, strict liability, breach of warranty, or any other legal theory.</w:t>
      </w:r>
    </w:p>
    <w:p w:rsidR="00E263E7" w:rsidRDefault="00E263E7" w:rsidP="00E263E7">
      <w:pPr>
        <w:pStyle w:val="NoSpacing"/>
      </w:pPr>
    </w:p>
    <w:p w:rsidR="00E263E7" w:rsidRDefault="00E263E7" w:rsidP="00E263E7">
      <w:pPr>
        <w:pStyle w:val="NoSpacing"/>
      </w:pPr>
      <w:r>
        <w:t>This section applies to all causes of action pending on or commenced on or after the date of the enactment.  This section shall take effect upon enactment.</w:t>
      </w:r>
    </w:p>
    <w:p w:rsidR="00E263E7" w:rsidRDefault="00E263E7" w:rsidP="00E263E7">
      <w:pPr>
        <w:spacing w:line="480" w:lineRule="auto"/>
      </w:pPr>
    </w:p>
    <w:p w:rsidR="00E263E7" w:rsidRDefault="00E263E7" w:rsidP="00E263E7">
      <w:pPr>
        <w:pStyle w:val="NoSpacing"/>
      </w:pPr>
      <w:proofErr w:type="gramStart"/>
      <w:r>
        <w:lastRenderedPageBreak/>
        <w:t>SECTION 2.</w:t>
      </w:r>
      <w:proofErr w:type="gramEnd"/>
      <w:r>
        <w:t xml:space="preserve">  Chapter 231B of the General Laws, as appearing in the 2008 Official Edition, is hereby amended by adding the following new section:-</w:t>
      </w:r>
    </w:p>
    <w:p w:rsidR="00E263E7" w:rsidRDefault="00E263E7" w:rsidP="00E263E7">
      <w:pPr>
        <w:pStyle w:val="NoSpacing"/>
      </w:pPr>
      <w:proofErr w:type="gramStart"/>
      <w:r>
        <w:t>Section 5.</w:t>
      </w:r>
      <w:proofErr w:type="gramEnd"/>
      <w:r>
        <w:t xml:space="preserve">  (a)  In any civil action, the court, unless otherwise agreed by all parties to the action, shall instruct the jury to answer special interrogatories or, if there is no jury, shall make findings indicating both (1) the total amount of each plaintiff’s damages, and (2</w:t>
      </w:r>
      <w:proofErr w:type="gramStart"/>
      <w:r>
        <w:t>)  the</w:t>
      </w:r>
      <w:proofErr w:type="gramEnd"/>
      <w:r>
        <w:t xml:space="preserve"> percentage of the total fault of all persons that contributed to the plaintiff’s damages, including any plaintiff, defendant or other person not named as a party to the action.</w:t>
      </w:r>
    </w:p>
    <w:p w:rsidR="00E263E7" w:rsidRDefault="00E263E7" w:rsidP="00E263E7">
      <w:pPr>
        <w:pStyle w:val="NoSpacing"/>
      </w:pPr>
      <w:r>
        <w:t xml:space="preserve">(b)  In determining the percentages of fault under subsection (a), the </w:t>
      </w:r>
      <w:proofErr w:type="spellStart"/>
      <w:r>
        <w:t>trier</w:t>
      </w:r>
      <w:proofErr w:type="spellEnd"/>
      <w:r>
        <w:t xml:space="preserve"> of fact shall consider both the nature of the conduct of each person at fault and the extent of the causal relation between the conduct and the damages.  (c)  The court shall determine the award of damages to each plaintiff in accordance with the findings under subsection (a), and shall enter judgment against each party, including any third-party defendant, except that a person shall not be required to pay non-economic damages in an amount greater than his or her percentage of fault as found under subsection (a) (2).  (d)  The term “non-economic damages” means subjective, non-monetary loss resulting from harm, including pain, suffering, inconvenience, mental suffering, emotional distress, loss of society or companionship, loss of consortium, injury to reputation, and humiliation.  (e)  This section shall not apply to actions for intentional torts, or to judgments against two or more defendants who are found to have consciously acted in a concerted effort.</w:t>
      </w:r>
    </w:p>
    <w:p w:rsidR="00E263E7" w:rsidRDefault="00E263E7" w:rsidP="00E263E7">
      <w:pPr>
        <w:spacing w:line="480" w:lineRule="auto"/>
      </w:pPr>
    </w:p>
    <w:p w:rsidR="00E263E7" w:rsidRDefault="00E263E7" w:rsidP="00E263E7">
      <w:pPr>
        <w:pStyle w:val="NoSpacing"/>
      </w:pPr>
      <w:proofErr w:type="gramStart"/>
      <w:r>
        <w:t>SECTION 3.</w:t>
      </w:r>
      <w:proofErr w:type="gramEnd"/>
      <w:r>
        <w:t xml:space="preserve">  Chapter 260 of the General Laws, as appearing in the 2008 Official Edition, is hereby amended by adding the following new section:-</w:t>
      </w:r>
    </w:p>
    <w:p w:rsidR="00E263E7" w:rsidRDefault="00E263E7" w:rsidP="00E263E7">
      <w:pPr>
        <w:pStyle w:val="NoSpacing"/>
      </w:pPr>
    </w:p>
    <w:p w:rsidR="00E263E7" w:rsidRDefault="00E263E7" w:rsidP="00E263E7">
      <w:pPr>
        <w:pStyle w:val="NoSpacing"/>
      </w:pPr>
      <w:proofErr w:type="gramStart"/>
      <w:r>
        <w:t>Section 20A.</w:t>
      </w:r>
      <w:proofErr w:type="gramEnd"/>
      <w:r>
        <w:t xml:space="preserve">  (a)  A products liability action shall not be commenced more than ten years after the initial date of sale or lease of the product for use or consumption.</w:t>
      </w:r>
    </w:p>
    <w:p w:rsidR="00E263E7" w:rsidRDefault="00E263E7" w:rsidP="00E263E7">
      <w:pPr>
        <w:pStyle w:val="NoSpacing"/>
      </w:pPr>
      <w:r>
        <w:t>(b)  The limitation provided for in subsection (a) shall not apply to the following situations:</w:t>
      </w:r>
    </w:p>
    <w:p w:rsidR="00E263E7" w:rsidRDefault="00E263E7" w:rsidP="00E263E7">
      <w:pPr>
        <w:pStyle w:val="NoSpacing"/>
      </w:pPr>
    </w:p>
    <w:p w:rsidR="00E263E7" w:rsidRDefault="00E263E7" w:rsidP="00E263E7">
      <w:pPr>
        <w:pStyle w:val="NoSpacing"/>
      </w:pPr>
      <w:r>
        <w:t xml:space="preserve">(1)  </w:t>
      </w:r>
      <w:proofErr w:type="gramStart"/>
      <w:r>
        <w:t>where</w:t>
      </w:r>
      <w:proofErr w:type="gramEnd"/>
      <w:r>
        <w:t xml:space="preserve"> a manufacturer or seller of a product provides any express written warranty that the product can be used for a period longer than ten years.  In such case the limitation shall be extended pursuant to the terms of the express written warranty.</w:t>
      </w:r>
    </w:p>
    <w:p w:rsidR="00E263E7" w:rsidRDefault="00E263E7" w:rsidP="00E263E7">
      <w:pPr>
        <w:pStyle w:val="NoSpacing"/>
      </w:pPr>
    </w:p>
    <w:p w:rsidR="00D93776" w:rsidRDefault="00E263E7" w:rsidP="00E263E7">
      <w:pPr>
        <w:pStyle w:val="NoSpacing"/>
      </w:pPr>
      <w:r>
        <w:t xml:space="preserve">(2)  </w:t>
      </w:r>
      <w:proofErr w:type="gramStart"/>
      <w:r>
        <w:t>if</w:t>
      </w:r>
      <w:proofErr w:type="gramEnd"/>
      <w:r>
        <w:t xml:space="preserve"> the harm, caused within ten years after the time of delivery, did not manifest itself until after that time.</w:t>
      </w:r>
    </w:p>
    <w:sectPr w:rsidR="00D93776" w:rsidSect="00D937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3776"/>
    <w:rsid w:val="00D93776"/>
    <w:rsid w:val="00E26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E7"/>
    <w:rPr>
      <w:rFonts w:ascii="Tahoma" w:hAnsi="Tahoma" w:cs="Tahoma"/>
      <w:sz w:val="16"/>
      <w:szCs w:val="16"/>
    </w:rPr>
  </w:style>
  <w:style w:type="character" w:styleId="LineNumber">
    <w:name w:val="line number"/>
    <w:basedOn w:val="DefaultParagraphFont"/>
    <w:uiPriority w:val="99"/>
    <w:semiHidden/>
    <w:unhideWhenUsed/>
    <w:rsid w:val="00E263E7"/>
  </w:style>
  <w:style w:type="paragraph" w:styleId="NoSpacing">
    <w:name w:val="No Spacing"/>
    <w:qFormat/>
    <w:rsid w:val="00E263E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Company>LEG</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2009-01-13T22:57:00Z</dcterms:created>
  <dcterms:modified xsi:type="dcterms:W3CDTF">2009-01-13T22:57:00Z</dcterms:modified>
</cp:coreProperties>
</file>