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46" w:rsidRDefault="002C51C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82A46" w:rsidRDefault="002C51C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C51C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82A46" w:rsidRDefault="002C51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82A46" w:rsidRDefault="002C51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A46" w:rsidRDefault="002C51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82A46" w:rsidRDefault="002C51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Vincent A. Pedone</w:t>
      </w:r>
    </w:p>
    <w:p w:rsidR="00882A46" w:rsidRDefault="002C51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A46" w:rsidRDefault="002C51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82A46" w:rsidRDefault="002C51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82A46" w:rsidRDefault="002C51C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recruit and retain</w:t>
      </w:r>
      <w:r>
        <w:rPr>
          <w:rFonts w:ascii="Times New Roman"/>
          <w:sz w:val="24"/>
        </w:rPr>
        <w:t xml:space="preserve"> certain physicians in the Commonwealth.</w:t>
      </w:r>
      <w:proofErr w:type="gramEnd"/>
    </w:p>
    <w:p w:rsidR="00882A46" w:rsidRDefault="002C51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A46" w:rsidRDefault="002C51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82A46" w:rsidRDefault="00882A4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82A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82A46" w:rsidRDefault="002C51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82A46" w:rsidRDefault="002C51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82A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82A46" w:rsidRDefault="002C51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Vincent A. Pedone</w:t>
                </w:r>
              </w:p>
            </w:tc>
            <w:tc>
              <w:tcPr>
                <w:tcW w:w="4500" w:type="dxa"/>
              </w:tcPr>
              <w:p w:rsidR="00882A46" w:rsidRDefault="002C51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Worcester</w:t>
                </w:r>
              </w:p>
            </w:tc>
          </w:tr>
        </w:tbl>
      </w:sdtContent>
    </w:sdt>
    <w:p w:rsidR="00882A46" w:rsidRDefault="002C51C5">
      <w:pPr>
        <w:suppressLineNumbers/>
      </w:pPr>
      <w:r>
        <w:br w:type="page"/>
      </w:r>
    </w:p>
    <w:p w:rsidR="00882A46" w:rsidRDefault="002C51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82A46" w:rsidRDefault="002C51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2A46" w:rsidRDefault="002C51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82A46" w:rsidRDefault="002C51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2A46" w:rsidRDefault="002C51C5">
      <w:pPr>
        <w:suppressLineNumbers/>
        <w:spacing w:after="2"/>
      </w:pPr>
      <w:r>
        <w:rPr>
          <w:sz w:val="14"/>
        </w:rPr>
        <w:br/>
      </w:r>
      <w:r>
        <w:br/>
      </w:r>
    </w:p>
    <w:p w:rsidR="00882A46" w:rsidRDefault="002C51C5">
      <w:pPr>
        <w:suppressLineNumbers/>
      </w:pPr>
      <w:proofErr w:type="gramStart"/>
      <w:r>
        <w:rPr>
          <w:rFonts w:ascii="Times New Roman"/>
          <w:smallCaps/>
          <w:sz w:val="28"/>
        </w:rPr>
        <w:t>An Act to recruit and retain certain physicians in the Commonwealth.</w:t>
      </w:r>
      <w:proofErr w:type="gramEnd"/>
      <w:r>
        <w:br/>
      </w:r>
      <w:r>
        <w:br/>
      </w:r>
      <w:r>
        <w:br/>
      </w:r>
    </w:p>
    <w:p w:rsidR="00882A46" w:rsidRDefault="002C51C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C51C5" w:rsidRDefault="002C51C5" w:rsidP="002C51C5">
      <w:pPr>
        <w:spacing w:line="480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</w:t>
      </w:r>
      <w:r w:rsidRPr="003850F5">
        <w:t>Notwithstanding the provisions of Chapter 112 or Chapter 175 of the General Laws or any other general or special law to the contr</w:t>
      </w:r>
      <w:r>
        <w:t>ary, every risk management organization which provides professional liability insurance to a registered physician</w:t>
      </w:r>
      <w:r w:rsidRPr="003850F5">
        <w:t xml:space="preserve"> in the Commonwealth </w:t>
      </w:r>
      <w:r>
        <w:t>shall</w:t>
      </w:r>
      <w:r w:rsidRPr="003850F5">
        <w:t xml:space="preserve"> offer policies for prorated or rate credit premiums for board certified obstetricians / gynecologists who choose to practice in a part-time capacity and board certified gynecologist</w:t>
      </w:r>
      <w:r>
        <w:t>s</w:t>
      </w:r>
      <w:r w:rsidRPr="003850F5">
        <w:t xml:space="preserve"> who treat pregnant patients to 40 weeks gestation who choose to practice in a part-time capacity.</w:t>
      </w:r>
    </w:p>
    <w:p w:rsidR="00882A46" w:rsidRDefault="002C51C5" w:rsidP="002C51C5">
      <w:pPr>
        <w:spacing w:line="480" w:lineRule="auto"/>
        <w:ind w:firstLine="720"/>
      </w:pPr>
      <w:proofErr w:type="gramStart"/>
      <w:r>
        <w:t>SECTION 2.</w:t>
      </w:r>
      <w:proofErr w:type="gramEnd"/>
      <w:r>
        <w:t xml:space="preserve"> T</w:t>
      </w:r>
      <w:r w:rsidRPr="003850F5">
        <w:t>he Commissioner of Insurance is hereby directed to promulgate rules and regulations</w:t>
      </w:r>
      <w:r>
        <w:t xml:space="preserve"> in accordance with the provisions of chapter 30A of the General slaws to implement the provisions of Section 1 of this Act.  Said regulations </w:t>
      </w:r>
      <w:r w:rsidRPr="003850F5">
        <w:t xml:space="preserve"> shall</w:t>
      </w:r>
      <w:r>
        <w:t xml:space="preserve"> include but not be limited to the establishment of </w:t>
      </w:r>
      <w:r w:rsidRPr="003850F5">
        <w:t xml:space="preserve"> the minimum and maximum number of monthly surgeries and hours of practice for said board certified obstetrician / gynecologist</w:t>
      </w:r>
      <w:r>
        <w:t>s</w:t>
      </w:r>
      <w:r w:rsidRPr="003850F5">
        <w:t xml:space="preserve"> to qualify for such prorated or rate credit premium</w:t>
      </w:r>
      <w:r>
        <w:t xml:space="preserve"> and the </w:t>
      </w:r>
      <w:r w:rsidRPr="003850F5">
        <w:t>minimum and maximum hours of practice for said</w:t>
      </w:r>
      <w:r>
        <w:t xml:space="preserve"> </w:t>
      </w:r>
      <w:r w:rsidRPr="003850F5">
        <w:t xml:space="preserve">board certified gynecologists treating pregnant patients to </w:t>
      </w:r>
      <w:r>
        <w:t>40 weeks gestation.</w:t>
      </w:r>
    </w:p>
    <w:sectPr w:rsidR="00882A46" w:rsidSect="00882A4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2A46"/>
    <w:rsid w:val="002C51C5"/>
    <w:rsid w:val="0088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C51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>LEG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mmobilio</cp:lastModifiedBy>
  <cp:revision>2</cp:revision>
  <dcterms:created xsi:type="dcterms:W3CDTF">2009-01-14T17:01:00Z</dcterms:created>
  <dcterms:modified xsi:type="dcterms:W3CDTF">2009-01-14T17:02:00Z</dcterms:modified>
</cp:coreProperties>
</file>