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B4D84" w:rsidRDefault="00975DB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6B4D84" w:rsidRDefault="00975DB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75DB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B4D84" w:rsidRDefault="00975D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B4D84" w:rsidRDefault="00975D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4D84" w:rsidRDefault="00975DB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B4D84" w:rsidRDefault="00975DB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6B4D84" w:rsidRDefault="00975DB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4D84" w:rsidRDefault="00975DB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B4D84" w:rsidRDefault="00975DB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4D84" w:rsidRDefault="00975DB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liquor li</w:t>
      </w:r>
      <w:r>
        <w:rPr>
          <w:rFonts w:ascii="Times New Roman"/>
          <w:sz w:val="24"/>
        </w:rPr>
        <w:t>ability insurance coverage.</w:t>
      </w:r>
      <w:proofErr w:type="gramEnd"/>
    </w:p>
    <w:p w:rsidR="006B4D84" w:rsidRDefault="00975DB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4D84" w:rsidRDefault="00975DB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B4D84" w:rsidRDefault="006B4D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Charles A. Murphy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Dwyer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V. Fernandes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Worcester</w:t>
                </w:r>
              </w:p>
            </w:tc>
          </w:tr>
        </w:tbl>
      </w:sdtContent>
    </w:sdt>
    <w:p w:rsidR="006B4D84" w:rsidRDefault="00975DB0">
      <w:pPr>
        <w:suppressLineNumbers/>
      </w:pPr>
      <w:r>
        <w:br w:type="page"/>
      </w:r>
    </w:p>
    <w:p w:rsidR="006B4D84" w:rsidRDefault="00975DB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275 OF 2007-2008.]</w:t>
      </w:r>
    </w:p>
    <w:p w:rsidR="006B4D84" w:rsidRDefault="00975DB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B4D84" w:rsidRDefault="00975D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4D84" w:rsidRDefault="00975DB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B4D84" w:rsidRDefault="00975DB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4D84" w:rsidRDefault="00975DB0">
      <w:pPr>
        <w:suppressLineNumbers/>
        <w:spacing w:after="2"/>
      </w:pPr>
      <w:r>
        <w:rPr>
          <w:sz w:val="14"/>
        </w:rPr>
        <w:br/>
      </w:r>
      <w:r>
        <w:br/>
      </w:r>
    </w:p>
    <w:p w:rsidR="006B4D84" w:rsidRDefault="00975DB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liquor liability insurance coverage.</w:t>
      </w:r>
      <w:proofErr w:type="gramEnd"/>
      <w:r>
        <w:br/>
      </w:r>
      <w:r>
        <w:br/>
      </w:r>
      <w:r>
        <w:br/>
      </w:r>
    </w:p>
    <w:p w:rsidR="006B4D84" w:rsidRDefault="00975DB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75DB0" w:rsidR="00975DB0" w:rsidP="00975DB0" w:rsidRDefault="00975DB0">
      <w:pPr>
        <w:pStyle w:val="NormalWeb"/>
        <w:jc w:val="both"/>
      </w:pPr>
      <w:r>
        <w:rPr>
          <w:sz w:val="22"/>
        </w:rPr>
        <w:tab/>
      </w:r>
      <w:proofErr w:type="gramStart"/>
      <w:r w:rsidRPr="00975DB0">
        <w:t>SECTION 1.</w:t>
      </w:r>
      <w:proofErr w:type="gramEnd"/>
      <w:r w:rsidRPr="00975DB0">
        <w:t>  Section 12 of Chapter 138 of the General Laws, as appearing in the 2000 Official Edition, is hereby amended by adding the following paragraph:</w:t>
      </w:r>
    </w:p>
    <w:p w:rsidRPr="00975DB0" w:rsidR="006B4D84" w:rsidP="00975DB0" w:rsidRDefault="00975DB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75DB0">
        <w:rPr>
          <w:rFonts w:ascii="Times New Roman" w:hAnsi="Times New Roman" w:eastAsia="Times New Roman" w:cs="Times New Roman"/>
          <w:sz w:val="24"/>
          <w:szCs w:val="24"/>
        </w:rPr>
        <w:t>No license shall be granted or renewed under the provisions of this section until the applicant or licensee provides proof of coverage under a liquor liability insurance policy that at a minimum the policy insures the establishment for at least $250,000 is required.</w:t>
      </w:r>
    </w:p>
    <w:sectPr w:rsidRPr="00975DB0" w:rsidR="006B4D84" w:rsidSect="006B4D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4D84"/>
    <w:rsid w:val="006B4D84"/>
    <w:rsid w:val="0097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B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75DB0"/>
  </w:style>
  <w:style w:type="paragraph" w:styleId="NormalWeb">
    <w:name w:val="Normal (Web)"/>
    <w:basedOn w:val="Normal"/>
    <w:uiPriority w:val="99"/>
    <w:semiHidden/>
    <w:unhideWhenUsed/>
    <w:rsid w:val="0097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>LEG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2009-01-15T15:56:00Z</dcterms:created>
  <dcterms:modified xsi:type="dcterms:W3CDTF">2009-01-15T15:57:00Z</dcterms:modified>
</cp:coreProperties>
</file>