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A18B5" w:rsidRDefault="0069512B">
      <w:pPr>
        <w:suppressLineNumbers/>
        <w:spacing w:after="2"/>
        <w:jc w:val="center"/>
      </w:pPr>
      <w:r>
        <w:rPr>
          <w:rFonts w:ascii="Arial"/>
          <w:sz w:val="18"/>
        </w:rPr>
        <w:t>HOUSE DOCKET, NO.         FILED ON: 1/13/2009</w:t>
      </w:r>
    </w:p>
    <w:p w:rsidR="006A18B5" w:rsidRDefault="0069512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9512B">
            <w:pPr>
              <w:suppressLineNumbers/>
              <w:jc w:val="right"/>
              <w:rPr>
                <w:b/>
                <w:sz w:val="28"/>
              </w:rPr>
            </w:pPr>
          </w:p>
        </w:tc>
      </w:tr>
    </w:tbl>
    <w:p w:rsidR="006A18B5" w:rsidRDefault="0069512B">
      <w:pPr>
        <w:suppressLineNumbers/>
        <w:spacing w:before="2" w:after="2"/>
        <w:jc w:val="center"/>
      </w:pPr>
      <w:r>
        <w:rPr>
          <w:rFonts w:ascii="Old English Text MT"/>
          <w:sz w:val="32"/>
        </w:rPr>
        <w:t>The Commonwealth of Massachusetts</w:t>
      </w:r>
    </w:p>
    <w:p w:rsidR="006A18B5" w:rsidRDefault="0069512B">
      <w:pPr>
        <w:suppressLineNumbers/>
        <w:spacing w:after="2"/>
        <w:jc w:val="center"/>
      </w:pPr>
      <w:r>
        <w:rPr>
          <w:rFonts w:ascii="Times New Roman"/>
          <w:b/>
          <w:sz w:val="32"/>
          <w:vertAlign w:val="superscript"/>
        </w:rPr>
        <w:t>_______________</w:t>
      </w:r>
    </w:p>
    <w:p w:rsidR="006A18B5" w:rsidRDefault="0069512B">
      <w:pPr>
        <w:suppressLineNumbers/>
        <w:spacing w:before="2"/>
        <w:jc w:val="center"/>
      </w:pPr>
      <w:r>
        <w:rPr>
          <w:rFonts w:ascii="Times New Roman"/>
          <w:sz w:val="20"/>
        </w:rPr>
        <w:t>PRESENTED BY:</w:t>
      </w:r>
    </w:p>
    <w:p w:rsidR="006A18B5" w:rsidRDefault="0069512B">
      <w:pPr>
        <w:suppressLineNumbers/>
        <w:spacing w:after="2"/>
        <w:jc w:val="center"/>
      </w:pPr>
      <w:r>
        <w:rPr>
          <w:rFonts w:ascii="Times New Roman"/>
          <w:b/>
          <w:sz w:val="24"/>
        </w:rPr>
        <w:t>William C. Galvin</w:t>
      </w:r>
    </w:p>
    <w:p w:rsidR="006A18B5" w:rsidRDefault="0069512B">
      <w:pPr>
        <w:suppressLineNumbers/>
        <w:jc w:val="center"/>
      </w:pPr>
      <w:r>
        <w:rPr>
          <w:rFonts w:ascii="Times New Roman"/>
          <w:b/>
          <w:sz w:val="32"/>
          <w:vertAlign w:val="superscript"/>
        </w:rPr>
        <w:t>_______________</w:t>
      </w:r>
    </w:p>
    <w:p w:rsidR="006A18B5" w:rsidRDefault="006951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18B5" w:rsidRDefault="0069512B">
      <w:pPr>
        <w:suppressLineNumbers/>
      </w:pPr>
      <w:r>
        <w:rPr>
          <w:rFonts w:ascii="Times New Roman"/>
          <w:sz w:val="20"/>
        </w:rPr>
        <w:tab/>
        <w:t>The undersigned legislators and/or citizens respectfully petition for the passage of the accompanying bill:</w:t>
      </w:r>
    </w:p>
    <w:p w:rsidR="006A18B5" w:rsidRDefault="0069512B">
      <w:pPr>
        <w:suppressLineNumbers/>
        <w:spacing w:after="2"/>
        <w:jc w:val="center"/>
      </w:pPr>
      <w:proofErr w:type="gramStart"/>
      <w:r>
        <w:rPr>
          <w:rFonts w:ascii="Times New Roman"/>
          <w:sz w:val="24"/>
        </w:rPr>
        <w:t>An Act relative to patient c</w:t>
      </w:r>
      <w:r>
        <w:rPr>
          <w:rFonts w:ascii="Times New Roman"/>
          <w:sz w:val="24"/>
        </w:rPr>
        <w:t>are access.</w:t>
      </w:r>
      <w:proofErr w:type="gramEnd"/>
    </w:p>
    <w:p w:rsidR="006A18B5" w:rsidRDefault="0069512B">
      <w:pPr>
        <w:suppressLineNumbers/>
        <w:spacing w:after="2"/>
        <w:jc w:val="center"/>
      </w:pPr>
      <w:r>
        <w:rPr>
          <w:rFonts w:ascii="Times New Roman"/>
          <w:b/>
          <w:sz w:val="32"/>
          <w:vertAlign w:val="superscript"/>
        </w:rPr>
        <w:t>_______________</w:t>
      </w:r>
    </w:p>
    <w:p w:rsidR="006A18B5" w:rsidRDefault="0069512B">
      <w:pPr>
        <w:suppressLineNumbers/>
        <w:jc w:val="center"/>
      </w:pPr>
      <w:r>
        <w:rPr>
          <w:rFonts w:ascii="Times New Roman"/>
          <w:sz w:val="20"/>
        </w:rPr>
        <w:t>PETITION OF:</w:t>
      </w:r>
    </w:p>
    <w:p w:rsidR="006A18B5" w:rsidRDefault="006A18B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Thomas P. Kennedy</w:t>
                </w:r>
              </w:p>
            </w:tc>
            <w:tc>
              <w:tcPr>
                <w:tcW w:w="4500" w:type="dxa"/>
              </w:tcPr>
              <w:p>
                <w:pPr>
                  <w:suppressLineNumbers/>
                  <w:spacing w:after="2"/>
                  <w:rPr>
                    <w:rFonts w:ascii="Times New Roman"/>
                    <w:sz w:val="22"/>
                  </w:rPr>
                </w:pPr>
                <w:r>
                  <w:rPr>
                    <w:rFonts w:ascii="Times New Roman"/>
                    <w:sz w:val="22"/>
                  </w:rPr>
                  <w:t>Second Plymouth and Bristol</w:t>
                </w:r>
              </w:p>
            </w:tc>
          </w:tr>
        </w:tbl>
      </w:sdtContent>
    </w:sdt>
    <w:p w:rsidR="006A18B5" w:rsidRDefault="0069512B">
      <w:pPr>
        <w:suppressLineNumbers/>
      </w:pPr>
      <w:r>
        <w:br w:type="page"/>
      </w:r>
    </w:p>
    <w:p w:rsidR="006A18B5" w:rsidRDefault="0069512B">
      <w:pPr>
        <w:suppressLineNumbers/>
        <w:jc w:val="center"/>
      </w:pPr>
      <w:r>
        <w:rPr>
          <w:rFonts w:ascii="Times New Roman"/>
          <w:sz w:val="24"/>
        </w:rPr>
        <w:lastRenderedPageBreak/>
        <w:t>[SIMILAR MATTER FILED IN PREVIOUS SESSION</w:t>
      </w:r>
      <w:r>
        <w:rPr>
          <w:rFonts w:ascii="Times New Roman"/>
          <w:sz w:val="24"/>
        </w:rPr>
        <w:br/>
        <w:t>SEE HOUSE, NO. 985 OF 2007-2008.]</w:t>
      </w:r>
    </w:p>
    <w:p w:rsidR="006A18B5" w:rsidRDefault="0069512B">
      <w:pPr>
        <w:suppressLineNumbers/>
        <w:spacing w:before="2" w:after="2"/>
        <w:jc w:val="center"/>
      </w:pPr>
      <w:r>
        <w:rPr>
          <w:rFonts w:ascii="Old English Text MT"/>
          <w:sz w:val="32"/>
        </w:rPr>
        <w:t>The Commonwealth of Massachusetts</w:t>
      </w:r>
      <w:r>
        <w:rPr>
          <w:rFonts w:ascii="Old English Text MT"/>
          <w:sz w:val="32"/>
        </w:rPr>
        <w:br/>
      </w:r>
    </w:p>
    <w:p w:rsidR="006A18B5" w:rsidRDefault="0069512B">
      <w:pPr>
        <w:suppressLineNumbers/>
        <w:spacing w:after="2"/>
        <w:jc w:val="center"/>
      </w:pPr>
      <w:r>
        <w:rPr>
          <w:rFonts w:ascii="Times New Roman"/>
          <w:b/>
          <w:sz w:val="24"/>
          <w:vertAlign w:val="superscript"/>
        </w:rPr>
        <w:t>_______________</w:t>
      </w:r>
    </w:p>
    <w:p w:rsidR="006A18B5" w:rsidRDefault="0069512B">
      <w:pPr>
        <w:suppressLineNumbers/>
        <w:spacing w:after="2"/>
        <w:jc w:val="center"/>
      </w:pPr>
      <w:r>
        <w:rPr>
          <w:rFonts w:ascii="Times New Roman"/>
          <w:b/>
          <w:sz w:val="18"/>
        </w:rPr>
        <w:t>In the Year Two Thousand and Nine</w:t>
      </w:r>
    </w:p>
    <w:p w:rsidR="006A18B5" w:rsidRDefault="0069512B">
      <w:pPr>
        <w:suppressLineNumbers/>
        <w:spacing w:after="2"/>
        <w:jc w:val="center"/>
      </w:pPr>
      <w:r>
        <w:rPr>
          <w:rFonts w:ascii="Times New Roman"/>
          <w:b/>
          <w:sz w:val="24"/>
          <w:vertAlign w:val="superscript"/>
        </w:rPr>
        <w:t>_______________</w:t>
      </w:r>
    </w:p>
    <w:p w:rsidR="006A18B5" w:rsidRDefault="0069512B">
      <w:pPr>
        <w:suppressLineNumbers/>
        <w:spacing w:after="2"/>
      </w:pPr>
      <w:r>
        <w:rPr>
          <w:sz w:val="14"/>
        </w:rPr>
        <w:br/>
      </w:r>
      <w:r>
        <w:br/>
      </w:r>
    </w:p>
    <w:p w:rsidR="006A18B5" w:rsidP="0069512B" w:rsidRDefault="0069512B">
      <w:pPr>
        <w:suppressLineNumbers/>
        <w:jc w:val="center"/>
      </w:pPr>
      <w:r>
        <w:rPr>
          <w:rFonts w:ascii="Times New Roman"/>
          <w:smallCaps/>
          <w:sz w:val="28"/>
        </w:rPr>
        <w:t>An Act relative to patient care access.</w:t>
      </w:r>
      <w:r>
        <w:br/>
      </w:r>
      <w:r>
        <w:br/>
      </w:r>
    </w:p>
    <w:p w:rsidR="006A18B5" w:rsidRDefault="0069512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9512B" w:rsidP="0069512B" w:rsidRDefault="0069512B">
      <w:pPr>
        <w:spacing w:line="480" w:lineRule="auto"/>
        <w:rPr>
          <w:rFonts w:ascii="Times New Roman" w:hAnsi="Times New Roman"/>
        </w:rPr>
      </w:pPr>
      <w:proofErr w:type="gramStart"/>
      <w:r w:rsidRPr="00BB731E">
        <w:rPr>
          <w:rFonts w:ascii="Times New Roman" w:hAnsi="Times New Roman"/>
        </w:rPr>
        <w:t>Section 1</w:t>
      </w:r>
      <w:r>
        <w:rPr>
          <w:rFonts w:ascii="Times New Roman" w:hAnsi="Times New Roman"/>
        </w:rPr>
        <w:t>.</w:t>
      </w:r>
      <w:proofErr w:type="gramEnd"/>
      <w:r>
        <w:rPr>
          <w:rFonts w:ascii="Times New Roman" w:hAnsi="Times New Roman"/>
        </w:rPr>
        <w:t xml:space="preserve">  Section 5 of Chapter 112 as appearing in the 2004 official edition is hereby amended on line 140 after the word “occasions” the following:  For purposes of this subsection, the offering of expert testimony in any action for malpractice, negligence, error, omission, mistake, or unauthorized rendering of professional services against a physician licensed pursuant to section 2 of Chapter 112 of the general laws, shall constitute the practice of medicine</w:t>
      </w:r>
      <w:r w:rsidRPr="00BB731E">
        <w:rPr>
          <w:rFonts w:ascii="Times New Roman" w:hAnsi="Times New Roman"/>
        </w:rPr>
        <w:t xml:space="preserve">. </w:t>
      </w:r>
    </w:p>
    <w:p w:rsidRPr="00BB731E" w:rsidR="0069512B" w:rsidP="0069512B" w:rsidRDefault="0069512B">
      <w:pPr>
        <w:spacing w:line="480" w:lineRule="auto"/>
        <w:rPr>
          <w:rFonts w:ascii="Times New Roman" w:hAnsi="Times New Roman"/>
        </w:rPr>
      </w:pPr>
      <w:proofErr w:type="gramStart"/>
      <w:r>
        <w:rPr>
          <w:rFonts w:ascii="Times New Roman" w:hAnsi="Times New Roman"/>
        </w:rPr>
        <w:t>Section 2.</w:t>
      </w:r>
      <w:proofErr w:type="gramEnd"/>
      <w:r>
        <w:rPr>
          <w:rFonts w:ascii="Times New Roman" w:hAnsi="Times New Roman"/>
        </w:rPr>
        <w:t xml:space="preserve">  Chapter</w:t>
      </w:r>
      <w:r w:rsidRPr="00BB731E">
        <w:rPr>
          <w:rFonts w:ascii="Times New Roman" w:hAnsi="Times New Roman"/>
        </w:rPr>
        <w:t xml:space="preserve"> 175 of the Massachusetts General Laws is hereby amended by the addition of the following new section:</w:t>
      </w:r>
    </w:p>
    <w:p w:rsidRPr="0069512B" w:rsidR="0069512B" w:rsidP="0069512B" w:rsidRDefault="0069512B">
      <w:pPr>
        <w:pStyle w:val="BodyText"/>
        <w:rPr>
          <w:sz w:val="22"/>
          <w:szCs w:val="22"/>
        </w:rPr>
      </w:pPr>
      <w:r w:rsidRPr="00BB731E">
        <w:rPr>
          <w:sz w:val="22"/>
          <w:szCs w:val="22"/>
        </w:rPr>
        <w:t xml:space="preserve">Section 193 V:  Every insurer or risk management organization which provides insurance to a physician licensed under Chapter 112 of the Massachusetts General Laws shall make an annual report to the </w:t>
      </w:r>
      <w:smartTag w:uri="urn:schemas-microsoft-com:office:smarttags" w:element="place">
        <w:smartTag w:uri="urn:schemas-microsoft-com:office:smarttags" w:element="PlaceName">
          <w:r w:rsidRPr="00BB731E">
            <w:rPr>
              <w:sz w:val="22"/>
              <w:szCs w:val="22"/>
            </w:rPr>
            <w:t>Betsy</w:t>
          </w:r>
        </w:smartTag>
        <w:r w:rsidRPr="00BB731E">
          <w:rPr>
            <w:sz w:val="22"/>
            <w:szCs w:val="22"/>
          </w:rPr>
          <w:t xml:space="preserve"> </w:t>
        </w:r>
        <w:smartTag w:uri="urn:schemas-microsoft-com:office:smarttags" w:element="PlaceName">
          <w:r w:rsidRPr="00BB731E">
            <w:rPr>
              <w:sz w:val="22"/>
              <w:szCs w:val="22"/>
            </w:rPr>
            <w:t>Lehman</w:t>
          </w:r>
        </w:smartTag>
        <w:r w:rsidRPr="00BB731E">
          <w:rPr>
            <w:sz w:val="22"/>
            <w:szCs w:val="22"/>
          </w:rPr>
          <w:t xml:space="preserve"> </w:t>
        </w:r>
        <w:smartTag w:uri="urn:schemas-microsoft-com:office:smarttags" w:element="PlaceType">
          <w:r w:rsidRPr="00BB731E">
            <w:rPr>
              <w:sz w:val="22"/>
              <w:szCs w:val="22"/>
            </w:rPr>
            <w:t>Center</w:t>
          </w:r>
        </w:smartTag>
      </w:smartTag>
      <w:r w:rsidRPr="00BB731E">
        <w:rPr>
          <w:sz w:val="22"/>
          <w:szCs w:val="22"/>
        </w:rPr>
        <w:t xml:space="preserve"> for Patient Safety and Medical Error Reduction established by Chapter 177 of the Acts of 2001.  Said report shall list the top ten categories of losses, claims or actions for damage for personal injuries alleged to have been caused by error, omission or negligence in the performance by physicians of medical services the company incurred during the previous calendar year.  Said report shall also identify the top ten defendant specialties as to cost and frequency of cases in the prior year.  Where applicable, </w:t>
      </w:r>
      <w:r w:rsidRPr="00BB731E">
        <w:rPr>
          <w:sz w:val="22"/>
          <w:szCs w:val="22"/>
        </w:rPr>
        <w:lastRenderedPageBreak/>
        <w:t>organizations shall include reports outlining losses and claims for non-physician health care providers as well. Reports shall include completed cases and settlements only and shall include no information identifying providers or patients. Reports shall be provided to the center at its request under annual timelines and reporting requirements established by the center with the input of the advisory committee established in Chapter 6A Section 16 E (C).  The Center shall use this information in the development of evidence-based best practices to reduce medical errors and enhance patient safety as required by Chapter 6A Section 16 E (e) 1 to increase awareness of error prevention strategies through public and professional education as required by Chapter 6A Section 16 E (e) 4.</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xml:space="preserve">Section </w:t>
      </w:r>
      <w:r>
        <w:rPr>
          <w:rFonts w:ascii="Times New Roman" w:hAnsi="Times New Roman"/>
        </w:rPr>
        <w:t>3</w:t>
      </w:r>
      <w:r w:rsidRPr="00BB731E">
        <w:rPr>
          <w:rFonts w:ascii="Times New Roman" w:hAnsi="Times New Roman"/>
        </w:rPr>
        <w:t>.</w:t>
      </w:r>
      <w:proofErr w:type="gramEnd"/>
      <w:r w:rsidRPr="00BB731E">
        <w:rPr>
          <w:rFonts w:ascii="Times New Roman" w:hAnsi="Times New Roman"/>
        </w:rPr>
        <w:t xml:space="preserve">    Section 60G of Chapter 231 of the General Laws as appearing in 2000 official addition is amended by striking in lines 10 and 11 the following:  “prior to the judgment” and adding in lines 12 and 27 after the word “compensated” the following: , replaceable, compensable or </w:t>
      </w:r>
      <w:proofErr w:type="spellStart"/>
      <w:r w:rsidRPr="00BB731E">
        <w:rPr>
          <w:rFonts w:ascii="Times New Roman" w:hAnsi="Times New Roman"/>
        </w:rPr>
        <w:t>indemnifiable</w:t>
      </w:r>
      <w:proofErr w:type="spellEnd"/>
      <w:r w:rsidRPr="00BB731E">
        <w:rPr>
          <w:rFonts w:ascii="Times New Roman" w:hAnsi="Times New Roman"/>
        </w:rPr>
        <w:t>,.</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xml:space="preserve">Section </w:t>
      </w:r>
      <w:r>
        <w:rPr>
          <w:rFonts w:ascii="Times New Roman" w:hAnsi="Times New Roman"/>
        </w:rPr>
        <w:t>4</w:t>
      </w:r>
      <w:r w:rsidRPr="00BB731E">
        <w:rPr>
          <w:rFonts w:ascii="Times New Roman" w:hAnsi="Times New Roman"/>
        </w:rPr>
        <w:t>.</w:t>
      </w:r>
      <w:proofErr w:type="gramEnd"/>
      <w:r w:rsidRPr="00BB731E">
        <w:rPr>
          <w:rFonts w:ascii="Times New Roman" w:hAnsi="Times New Roman"/>
        </w:rPr>
        <w:t xml:space="preserve">   Chapter 231 of the General Laws is hereby amended by adding after section 60J, the following new section:</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Section 60K.</w:t>
      </w:r>
      <w:proofErr w:type="gramEnd"/>
      <w:r w:rsidRPr="00BB731E">
        <w:rPr>
          <w:rFonts w:ascii="Times New Roman" w:hAnsi="Times New Roman"/>
        </w:rPr>
        <w:t xml:space="preserve">  In any action for malpractice, error or mistake against a provider of health licensed pursuant to section 2 of Chapter 112, including actions pursuant to section 60B of this Chapter, an expert witness shall be board certified in the same specialty as the defendant licensed pursuant to section 2 of Chapter 112.</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xml:space="preserve">Section </w:t>
      </w:r>
      <w:r>
        <w:rPr>
          <w:rFonts w:ascii="Times New Roman" w:hAnsi="Times New Roman"/>
        </w:rPr>
        <w:t>5</w:t>
      </w:r>
      <w:r w:rsidRPr="00BB731E">
        <w:rPr>
          <w:rFonts w:ascii="Times New Roman" w:hAnsi="Times New Roman"/>
        </w:rPr>
        <w:t>.</w:t>
      </w:r>
      <w:proofErr w:type="gramEnd"/>
      <w:r w:rsidRPr="00BB731E">
        <w:rPr>
          <w:rFonts w:ascii="Times New Roman" w:hAnsi="Times New Roman"/>
        </w:rPr>
        <w:t xml:space="preserve">    Chapter 231 of the General Laws is hereby amended by adding after section 60K, the following new section:</w:t>
      </w:r>
    </w:p>
    <w:p w:rsidRPr="00BB731E" w:rsidR="0069512B" w:rsidP="0069512B" w:rsidRDefault="0069512B">
      <w:pPr>
        <w:spacing w:line="480" w:lineRule="auto"/>
        <w:rPr>
          <w:rFonts w:ascii="Times New Roman" w:hAnsi="Times New Roman"/>
        </w:rPr>
      </w:pPr>
      <w:r w:rsidRPr="00BB731E">
        <w:rPr>
          <w:rFonts w:ascii="Times New Roman" w:hAnsi="Times New Roman"/>
        </w:rPr>
        <w:t xml:space="preserve"> Section 60L.  In every action for malpractice, negligence, error, omission, mistake or the unauthorized rendering of professional services against a provider of health care where the court shall, at the request of either party, (a) Enter a judgment ordering that money damages or its equivalent for future damages of the judgment creditor be paid in whole or in part by periodic payments rather than by a lump-sum payment if the award equals or exceeds fifty thousand dollars ($50,000) in future damages.  In entering a judgment </w:t>
      </w:r>
      <w:r w:rsidRPr="00BB731E">
        <w:rPr>
          <w:rFonts w:ascii="Times New Roman" w:hAnsi="Times New Roman"/>
        </w:rPr>
        <w:lastRenderedPageBreak/>
        <w:t>ordering of the payment of future damages by periodic payments, the court shall make a specific finding as to the dollar amount of periodic payments which will compensate the judgment creditor for such future damages, the court shall require the defendant who is not adequately insured to post security adequate to assure full payment of such damages awarded by the judgment.  Upon termination of periodic payments of future damages, the court shall order the return of this security, or so much as remains, to the defendant.</w:t>
      </w:r>
    </w:p>
    <w:p w:rsidRPr="00BB731E" w:rsidR="0069512B" w:rsidP="0069512B" w:rsidRDefault="0069512B">
      <w:pPr>
        <w:spacing w:line="480" w:lineRule="auto"/>
        <w:rPr>
          <w:rFonts w:ascii="Times New Roman" w:hAnsi="Times New Roman"/>
        </w:rPr>
      </w:pPr>
      <w:r w:rsidRPr="00BB731E">
        <w:rPr>
          <w:rFonts w:ascii="Times New Roman" w:hAnsi="Times New Roman"/>
        </w:rPr>
        <w:t xml:space="preserve">(b)(1) The judgment ordering the payment of future damages by periodic payments shall specify the recipient or recipients of the payments, the dollar amount of the payments, the interval between </w:t>
      </w:r>
      <w:proofErr w:type="gramStart"/>
      <w:r w:rsidRPr="00BB731E">
        <w:rPr>
          <w:rFonts w:ascii="Times New Roman" w:hAnsi="Times New Roman"/>
        </w:rPr>
        <w:t>payments,</w:t>
      </w:r>
      <w:proofErr w:type="gramEnd"/>
      <w:r w:rsidRPr="00BB731E">
        <w:rPr>
          <w:rFonts w:ascii="Times New Roman" w:hAnsi="Times New Roman"/>
        </w:rPr>
        <w:t xml:space="preserve"> and the number of payments or the period of time over which payments shall be made.  Such payments shall only be subject to modification in the event of the death of the judgment creditor.</w:t>
      </w:r>
    </w:p>
    <w:p w:rsidRPr="00BB731E" w:rsidR="0069512B" w:rsidP="0069512B" w:rsidRDefault="0069512B">
      <w:pPr>
        <w:spacing w:line="480" w:lineRule="auto"/>
        <w:rPr>
          <w:rFonts w:ascii="Times New Roman" w:hAnsi="Times New Roman"/>
        </w:rPr>
      </w:pPr>
      <w:r w:rsidRPr="00BB731E">
        <w:rPr>
          <w:rFonts w:ascii="Times New Roman" w:hAnsi="Times New Roman"/>
        </w:rPr>
        <w:t>(2) In the event that the court finds that the defendant has exhibited a continuing pattern of failing to make the payments, as specified in paragraph (1), the court shall find the defendant in contempt of court and, in addition to the required periodic payments, shall order the defendant to pay the plaintiff all damages caused by the failure to make such periodic payments, including court costs and attorney’s fees.</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c</w:t>
      </w:r>
      <w:proofErr w:type="gramEnd"/>
      <w:r w:rsidRPr="00BB731E">
        <w:rPr>
          <w:rFonts w:ascii="Times New Roman" w:hAnsi="Times New Roman"/>
        </w:rPr>
        <w:t xml:space="preserve"> ) However, money damages awarded for loss of future earnings shall not be reduced or payments terminated by reason of the death of the plaintiff, but shall be paid to persons to whom the plaintiff owed a duty of support, as provided by law, immediately prior to his death.  In such cases the court which rendered the original judgment, may, upon petition of any party in interest, modify the judgment to award and apportion the unpaid future damages in accordance with this subdivision. </w:t>
      </w:r>
    </w:p>
    <w:p w:rsidRPr="00BB731E" w:rsidR="0069512B" w:rsidP="0069512B" w:rsidRDefault="0069512B">
      <w:pPr>
        <w:spacing w:line="480" w:lineRule="auto"/>
        <w:rPr>
          <w:rFonts w:ascii="Times New Roman" w:hAnsi="Times New Roman"/>
        </w:rPr>
      </w:pPr>
      <w:r w:rsidRPr="00BB731E">
        <w:rPr>
          <w:rFonts w:ascii="Times New Roman" w:hAnsi="Times New Roman"/>
        </w:rPr>
        <w:t>(d) Following the occurrence or expiration of all obligations specified in the periodic payment judgment, any obligation of the defendant to make future payments shall cease and any security given, pursuant to section (a) shall revert to the defendant.</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xml:space="preserve">Section </w:t>
      </w:r>
      <w:r>
        <w:rPr>
          <w:rFonts w:ascii="Times New Roman" w:hAnsi="Times New Roman"/>
        </w:rPr>
        <w:t>6</w:t>
      </w:r>
      <w:r w:rsidRPr="00BB731E">
        <w:rPr>
          <w:rFonts w:ascii="Times New Roman" w:hAnsi="Times New Roman"/>
        </w:rPr>
        <w:t>.</w:t>
      </w:r>
      <w:proofErr w:type="gramEnd"/>
      <w:r w:rsidRPr="00BB731E">
        <w:rPr>
          <w:rFonts w:ascii="Times New Roman" w:hAnsi="Times New Roman"/>
        </w:rPr>
        <w:t xml:space="preserve">   Said chapter 231 is hereby amended by inserting after section 60L the following section:—</w:t>
      </w:r>
    </w:p>
    <w:p w:rsidRPr="0069512B" w:rsidR="0069512B" w:rsidP="0069512B" w:rsidRDefault="0069512B">
      <w:pPr>
        <w:pStyle w:val="section3etcparagr"/>
        <w:spacing w:line="480" w:lineRule="auto"/>
        <w:rPr>
          <w:sz w:val="22"/>
          <w:szCs w:val="22"/>
        </w:rPr>
      </w:pPr>
      <w:r w:rsidRPr="00BB731E">
        <w:rPr>
          <w:sz w:val="22"/>
          <w:szCs w:val="22"/>
        </w:rPr>
        <w:lastRenderedPageBreak/>
        <w:t xml:space="preserve">Section 60M. In any action for malpractice, negligence, error, omission, mistake or unauthorized rendering of professional services against a provider of health care, in which a verdict is rendered or a finding made or an order for judgment made for pecuniary damages for personal injuries to the plaintiff or for consequential damages, there shall be added by the clerk of the court to the amount of damages interest thereon, at a rate to be determined as set forth below rather than the rate specified in section 6B of chapter 231, from the date of the commencement of the action even though such interest brings the amount of the verdict or finding beyond the maximum liability imposed by law. For all judgments entered after the effective date of this act, the rate of interest to be applied by the clerk shall be at a rate equal to the weekly average 1-year constant maturity Treasury yield, as published by the Board of Governors of the Federal Reserve System for the calendar week preceding the date of judgment.  At no point shall the rate of interest established by this section exceed the rate of interest set forth in said section 6B of chapter 231.  </w:t>
      </w:r>
    </w:p>
    <w:p w:rsidRPr="00BB731E" w:rsidR="0069512B" w:rsidP="0069512B" w:rsidRDefault="0069512B">
      <w:pPr>
        <w:spacing w:line="480" w:lineRule="auto"/>
        <w:rPr>
          <w:rFonts w:ascii="Times New Roman" w:hAnsi="Times New Roman"/>
        </w:rPr>
      </w:pPr>
      <w:proofErr w:type="gramStart"/>
      <w:r w:rsidRPr="00BB731E">
        <w:rPr>
          <w:rFonts w:ascii="Times New Roman" w:hAnsi="Times New Roman"/>
        </w:rPr>
        <w:t xml:space="preserve">Section </w:t>
      </w:r>
      <w:r>
        <w:rPr>
          <w:rFonts w:ascii="Times New Roman" w:hAnsi="Times New Roman"/>
        </w:rPr>
        <w:t>7</w:t>
      </w:r>
      <w:r w:rsidRPr="00BB731E">
        <w:rPr>
          <w:rFonts w:ascii="Times New Roman" w:hAnsi="Times New Roman"/>
        </w:rPr>
        <w:t>.</w:t>
      </w:r>
      <w:proofErr w:type="gramEnd"/>
      <w:r w:rsidRPr="00BB731E">
        <w:rPr>
          <w:rFonts w:ascii="Times New Roman" w:hAnsi="Times New Roman"/>
        </w:rPr>
        <w:t xml:space="preserve">   Chapter 231 of the General Laws is hereby amended by adding the following section:</w:t>
      </w:r>
    </w:p>
    <w:p w:rsidRPr="0069512B" w:rsidR="006A18B5" w:rsidP="0069512B" w:rsidRDefault="0069512B">
      <w:pPr>
        <w:pStyle w:val="BodyText"/>
        <w:rPr>
          <w:sz w:val="22"/>
          <w:szCs w:val="22"/>
        </w:rPr>
      </w:pPr>
      <w:proofErr w:type="gramStart"/>
      <w:r w:rsidRPr="00BB731E">
        <w:rPr>
          <w:sz w:val="22"/>
          <w:szCs w:val="22"/>
        </w:rPr>
        <w:t>Section 60N.</w:t>
      </w:r>
      <w:proofErr w:type="gramEnd"/>
      <w:r w:rsidRPr="00BB731E">
        <w:rPr>
          <w:sz w:val="22"/>
          <w:szCs w:val="22"/>
        </w:rPr>
        <w:t xml:space="preserve">  In any action for malpractice, error, omission, mistake or the unauthorized rendering of professional services against a provider of health care, the liability of each defendant for damages shall be several only and shall not be </w:t>
      </w:r>
      <w:proofErr w:type="gramStart"/>
      <w:r w:rsidRPr="00BB731E">
        <w:rPr>
          <w:sz w:val="22"/>
          <w:szCs w:val="22"/>
        </w:rPr>
        <w:t>joint</w:t>
      </w:r>
      <w:proofErr w:type="gramEnd"/>
      <w:r w:rsidRPr="00BB731E">
        <w:rPr>
          <w:sz w:val="22"/>
          <w:szCs w:val="22"/>
        </w:rPr>
        <w:t xml:space="preserve">.  Each defendant shall be liable only for the amount of damages allocated to that defendant in direct proportion to that defendant’s percentage of fault, and a separate judgment shall be rendered against that defendant for that amount. </w:t>
      </w:r>
    </w:p>
    <w:sectPr w:rsidRPr="0069512B" w:rsidR="006A18B5" w:rsidSect="006A18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18B5"/>
    <w:rsid w:val="0069512B"/>
    <w:rsid w:val="006A1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12B"/>
    <w:rPr>
      <w:rFonts w:ascii="Tahoma" w:hAnsi="Tahoma" w:cs="Tahoma"/>
      <w:sz w:val="16"/>
      <w:szCs w:val="16"/>
    </w:rPr>
  </w:style>
  <w:style w:type="character" w:styleId="LineNumber">
    <w:name w:val="line number"/>
    <w:basedOn w:val="DefaultParagraphFont"/>
    <w:uiPriority w:val="99"/>
    <w:semiHidden/>
    <w:unhideWhenUsed/>
    <w:rsid w:val="0069512B"/>
  </w:style>
  <w:style w:type="paragraph" w:styleId="BodyText">
    <w:name w:val="Body Text"/>
    <w:basedOn w:val="Normal"/>
    <w:link w:val="BodyTextChar"/>
    <w:rsid w:val="0069512B"/>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9512B"/>
    <w:rPr>
      <w:rFonts w:ascii="Times New Roman" w:eastAsia="Times New Roman" w:hAnsi="Times New Roman" w:cs="Times New Roman"/>
      <w:sz w:val="24"/>
      <w:szCs w:val="20"/>
    </w:rPr>
  </w:style>
  <w:style w:type="paragraph" w:customStyle="1" w:styleId="section3etcparagr">
    <w:name w:val="section3etcparagr"/>
    <w:basedOn w:val="Normal"/>
    <w:rsid w:val="0069512B"/>
    <w:pPr>
      <w:spacing w:after="0" w:line="240" w:lineRule="auto"/>
      <w:ind w:firstLine="605"/>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7104</Characters>
  <Application>Microsoft Office Word</Application>
  <DocSecurity>0</DocSecurity>
  <Lines>59</Lines>
  <Paragraphs>16</Paragraphs>
  <ScaleCrop>false</ScaleCrop>
  <Company>LEG</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wgalvin</cp:lastModifiedBy>
  <cp:revision>2</cp:revision>
  <dcterms:created xsi:type="dcterms:W3CDTF">2009-01-13T16:04:00Z</dcterms:created>
  <dcterms:modified xsi:type="dcterms:W3CDTF">2009-01-13T16:05:00Z</dcterms:modified>
</cp:coreProperties>
</file>