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AC3" w:rsidRDefault="0051108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C95AC3" w:rsidRDefault="0051108C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1108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95AC3" w:rsidRDefault="0051108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95AC3" w:rsidRDefault="0051108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5AC3" w:rsidRDefault="0051108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95AC3" w:rsidRDefault="0051108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F. Fennell</w:t>
      </w:r>
    </w:p>
    <w:p w:rsidR="00C95AC3" w:rsidRDefault="0051108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5AC3" w:rsidRDefault="0051108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95AC3" w:rsidRDefault="0051108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95AC3" w:rsidRDefault="0051108C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Vacant Lo</w:t>
      </w:r>
      <w:r>
        <w:rPr>
          <w:rFonts w:ascii="Times New Roman"/>
          <w:sz w:val="24"/>
        </w:rPr>
        <w:t>t Zoning.</w:t>
      </w:r>
    </w:p>
    <w:p w:rsidR="00C95AC3" w:rsidRDefault="0051108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5AC3" w:rsidRDefault="0051108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95AC3" w:rsidRDefault="00C95AC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95AC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95AC3" w:rsidRDefault="0051108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95AC3" w:rsidRDefault="0051108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95AC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95AC3" w:rsidRDefault="0051108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F. Fennell</w:t>
                </w:r>
              </w:p>
            </w:tc>
            <w:tc>
              <w:tcPr>
                <w:tcW w:w="4500" w:type="dxa"/>
              </w:tcPr>
              <w:p w:rsidR="00C95AC3" w:rsidRDefault="0051108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Essex</w:t>
                </w:r>
              </w:p>
            </w:tc>
          </w:tr>
        </w:tbl>
      </w:sdtContent>
    </w:sdt>
    <w:p w:rsidR="00C95AC3" w:rsidRDefault="0051108C">
      <w:pPr>
        <w:suppressLineNumbers/>
      </w:pPr>
      <w:r>
        <w:br w:type="page"/>
      </w:r>
    </w:p>
    <w:p w:rsidR="00C95AC3" w:rsidRDefault="0051108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4867 OF 2007-2008.]</w:t>
      </w:r>
    </w:p>
    <w:p w:rsidR="00C95AC3" w:rsidRDefault="0051108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95AC3" w:rsidRDefault="0051108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95AC3" w:rsidRDefault="0051108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95AC3" w:rsidRDefault="0051108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95AC3" w:rsidRDefault="0051108C">
      <w:pPr>
        <w:suppressLineNumbers/>
        <w:spacing w:after="2"/>
      </w:pPr>
      <w:r>
        <w:rPr>
          <w:sz w:val="14"/>
        </w:rPr>
        <w:br/>
      </w:r>
      <w:r>
        <w:br/>
      </w:r>
    </w:p>
    <w:p w:rsidR="00C95AC3" w:rsidRDefault="0051108C">
      <w:pPr>
        <w:suppressLineNumbers/>
      </w:pPr>
      <w:r>
        <w:rPr>
          <w:rFonts w:ascii="Times New Roman"/>
          <w:smallCaps/>
          <w:sz w:val="28"/>
        </w:rPr>
        <w:t>An Act Relative to Vacant Lot Zoning.</w:t>
      </w:r>
      <w:r>
        <w:br/>
      </w:r>
      <w:r>
        <w:br/>
      </w:r>
      <w:r>
        <w:br/>
      </w:r>
    </w:p>
    <w:p w:rsidR="00C95AC3" w:rsidRDefault="0051108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1108C" w:rsidRPr="0051108C" w:rsidRDefault="0051108C" w:rsidP="005110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Section 1:</w:t>
      </w:r>
      <w:r w:rsidRPr="0051108C">
        <w:rPr>
          <w:rFonts w:ascii="Times New Roman" w:eastAsia="Times New Roman" w:hAnsi="Times New Roman" w:cs="Times New Roman"/>
          <w:sz w:val="20"/>
          <w:szCs w:val="20"/>
        </w:rPr>
        <w:t xml:space="preserve"> The fourth paragraph of section 6 of chapter 40A of the General Laws, as appearing in the 2006 Official Edition, is hereby amended by adding the following sentence:-  The provisions of this paragraph shall apply to any lot whether or not previously built upon, and shall have retroactive effect.</w:t>
      </w:r>
    </w:p>
    <w:p w:rsidR="00C95AC3" w:rsidRDefault="00C95AC3">
      <w:pPr>
        <w:spacing w:line="336" w:lineRule="auto"/>
      </w:pPr>
    </w:p>
    <w:sectPr w:rsidR="00C95AC3" w:rsidSect="00C95AC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95AC3"/>
    <w:rsid w:val="0051108C"/>
    <w:rsid w:val="00C9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08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110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1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1037</Characters>
  <Application>Microsoft Office Word</Application>
  <DocSecurity>0</DocSecurity>
  <Lines>8</Lines>
  <Paragraphs>2</Paragraphs>
  <ScaleCrop>false</ScaleCrop>
  <Company>LEG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tdamario</cp:lastModifiedBy>
  <cp:revision>2</cp:revision>
  <dcterms:created xsi:type="dcterms:W3CDTF">2009-01-12T19:53:00Z</dcterms:created>
  <dcterms:modified xsi:type="dcterms:W3CDTF">2009-01-12T19:53:00Z</dcterms:modified>
</cp:coreProperties>
</file>