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B2" w:rsidRDefault="006F704F">
      <w:pPr>
        <w:suppressLineNumbers/>
        <w:spacing w:after="2"/>
        <w:jc w:val="center"/>
      </w:pPr>
      <w:r>
        <w:rPr>
          <w:rFonts w:ascii="Arial"/>
          <w:sz w:val="18"/>
        </w:rPr>
        <w:t>HOUSE DOCKET, NO.         FILED ON: 1/14/2009</w:t>
      </w:r>
    </w:p>
    <w:p w:rsidR="008D06B2" w:rsidRDefault="006F70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F704F" w:rsidP="00DB534B">
            <w:pPr>
              <w:suppressLineNumbers/>
              <w:jc w:val="right"/>
              <w:rPr>
                <w:b/>
                <w:sz w:val="28"/>
              </w:rPr>
            </w:pPr>
          </w:p>
        </w:tc>
      </w:tr>
    </w:tbl>
    <w:p w:rsidR="008D06B2" w:rsidRDefault="006F704F">
      <w:pPr>
        <w:suppressLineNumbers/>
        <w:spacing w:before="2" w:after="2"/>
        <w:jc w:val="center"/>
      </w:pPr>
      <w:r>
        <w:rPr>
          <w:rFonts w:ascii="Old English Text MT"/>
          <w:sz w:val="32"/>
        </w:rPr>
        <w:t>The Commonwealth of Massachusetts</w:t>
      </w:r>
    </w:p>
    <w:p w:rsidR="008D06B2" w:rsidRDefault="006F704F">
      <w:pPr>
        <w:suppressLineNumbers/>
        <w:spacing w:after="2"/>
        <w:jc w:val="center"/>
      </w:pPr>
      <w:r>
        <w:rPr>
          <w:rFonts w:ascii="Times New Roman"/>
          <w:b/>
          <w:sz w:val="32"/>
          <w:vertAlign w:val="superscript"/>
        </w:rPr>
        <w:t>_______________</w:t>
      </w:r>
    </w:p>
    <w:p w:rsidR="008D06B2" w:rsidRDefault="006F704F">
      <w:pPr>
        <w:suppressLineNumbers/>
        <w:spacing w:before="2"/>
        <w:jc w:val="center"/>
      </w:pPr>
      <w:r>
        <w:rPr>
          <w:rFonts w:ascii="Times New Roman"/>
          <w:sz w:val="20"/>
        </w:rPr>
        <w:t>PRESENTED BY:</w:t>
      </w:r>
    </w:p>
    <w:p w:rsidR="008D06B2" w:rsidRDefault="006F704F">
      <w:pPr>
        <w:suppressLineNumbers/>
        <w:spacing w:after="2"/>
        <w:jc w:val="center"/>
      </w:pPr>
      <w:r>
        <w:rPr>
          <w:rFonts w:ascii="Times New Roman"/>
          <w:b/>
          <w:sz w:val="24"/>
        </w:rPr>
        <w:t>James H. Fagan</w:t>
      </w:r>
    </w:p>
    <w:p w:rsidR="008D06B2" w:rsidRDefault="006F704F">
      <w:pPr>
        <w:suppressLineNumbers/>
        <w:jc w:val="center"/>
      </w:pPr>
      <w:r>
        <w:rPr>
          <w:rFonts w:ascii="Times New Roman"/>
          <w:b/>
          <w:sz w:val="32"/>
          <w:vertAlign w:val="superscript"/>
        </w:rPr>
        <w:t>_______________</w:t>
      </w:r>
    </w:p>
    <w:p w:rsidR="008D06B2" w:rsidRDefault="006F70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06B2" w:rsidRDefault="006F704F">
      <w:pPr>
        <w:suppressLineNumbers/>
      </w:pPr>
      <w:r>
        <w:rPr>
          <w:rFonts w:ascii="Times New Roman"/>
          <w:sz w:val="20"/>
        </w:rPr>
        <w:tab/>
        <w:t>The undersigned legislators and/or citizens respectfully petition for the passage of the accompanying bill:</w:t>
      </w:r>
    </w:p>
    <w:p w:rsidR="008D06B2" w:rsidRDefault="006F704F">
      <w:pPr>
        <w:suppressLineNumbers/>
        <w:spacing w:after="2"/>
        <w:jc w:val="center"/>
      </w:pPr>
      <w:proofErr w:type="gramStart"/>
      <w:r>
        <w:rPr>
          <w:rFonts w:ascii="Times New Roman"/>
          <w:sz w:val="24"/>
        </w:rPr>
        <w:t>An Act relative to broadband</w:t>
      </w:r>
      <w:r>
        <w:rPr>
          <w:rFonts w:ascii="Times New Roman"/>
          <w:sz w:val="24"/>
        </w:rPr>
        <w:t xml:space="preserve"> and telecommunications security.</w:t>
      </w:r>
      <w:proofErr w:type="gramEnd"/>
    </w:p>
    <w:p w:rsidR="008D06B2" w:rsidRDefault="006F704F">
      <w:pPr>
        <w:suppressLineNumbers/>
        <w:spacing w:after="2"/>
        <w:jc w:val="center"/>
      </w:pPr>
      <w:r>
        <w:rPr>
          <w:rFonts w:ascii="Times New Roman"/>
          <w:b/>
          <w:sz w:val="32"/>
          <w:vertAlign w:val="superscript"/>
        </w:rPr>
        <w:t>_______________</w:t>
      </w:r>
    </w:p>
    <w:p w:rsidR="008D06B2" w:rsidRDefault="006F704F">
      <w:pPr>
        <w:suppressLineNumbers/>
        <w:jc w:val="center"/>
      </w:pPr>
      <w:r>
        <w:rPr>
          <w:rFonts w:ascii="Times New Roman"/>
          <w:sz w:val="20"/>
        </w:rPr>
        <w:t>PETITION OF:</w:t>
      </w:r>
    </w:p>
    <w:p w:rsidR="008D06B2" w:rsidRDefault="008D06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06B2">
            <w:tblPrEx>
              <w:tblCellMar>
                <w:top w:w="0" w:type="dxa"/>
                <w:bottom w:w="0" w:type="dxa"/>
              </w:tblCellMar>
            </w:tblPrEx>
            <w:tc>
              <w:tcPr>
                <w:tcW w:w="4500" w:type="dxa"/>
                <w:tcBorders>
                  <w:top w:val="nil"/>
                  <w:bottom w:val="single" w:sz="4" w:space="0" w:color="auto"/>
                  <w:right w:val="single" w:sz="4" w:space="0" w:color="auto"/>
                </w:tcBorders>
              </w:tcPr>
              <w:p w:rsidR="008D06B2" w:rsidRDefault="006F70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06B2" w:rsidRDefault="006F704F">
                <w:pPr>
                  <w:suppressLineNumbers/>
                  <w:spacing w:after="2"/>
                  <w:rPr>
                    <w:smallCaps/>
                  </w:rPr>
                </w:pPr>
                <w:r>
                  <w:rPr>
                    <w:rFonts w:ascii="Times New Roman"/>
                    <w:smallCaps/>
                    <w:sz w:val="24"/>
                  </w:rPr>
                  <w:t>District/Address:</w:t>
                </w:r>
              </w:p>
            </w:tc>
          </w:tr>
          <w:tr w:rsidR="008D06B2">
            <w:tblPrEx>
              <w:tblCellMar>
                <w:top w:w="0" w:type="dxa"/>
                <w:bottom w:w="0" w:type="dxa"/>
              </w:tblCellMar>
            </w:tblPrEx>
            <w:tc>
              <w:tcPr>
                <w:tcW w:w="4500" w:type="dxa"/>
              </w:tcPr>
              <w:p w:rsidR="008D06B2" w:rsidRDefault="006F704F">
                <w:pPr>
                  <w:suppressLineNumbers/>
                  <w:spacing w:after="2"/>
                  <w:rPr>
                    <w:rFonts w:ascii="Times New Roman"/>
                  </w:rPr>
                </w:pPr>
                <w:r>
                  <w:rPr>
                    <w:rFonts w:ascii="Times New Roman"/>
                  </w:rPr>
                  <w:t>James H. Fagan</w:t>
                </w:r>
              </w:p>
            </w:tc>
            <w:tc>
              <w:tcPr>
                <w:tcW w:w="4500" w:type="dxa"/>
              </w:tcPr>
              <w:p w:rsidR="008D06B2" w:rsidRDefault="006F704F">
                <w:pPr>
                  <w:suppressLineNumbers/>
                  <w:spacing w:after="2"/>
                  <w:rPr>
                    <w:rFonts w:ascii="Times New Roman"/>
                  </w:rPr>
                </w:pPr>
                <w:r>
                  <w:rPr>
                    <w:rFonts w:ascii="Times New Roman"/>
                  </w:rPr>
                  <w:t>3rd Bristol</w:t>
                </w:r>
              </w:p>
            </w:tc>
          </w:tr>
        </w:tbl>
      </w:sdtContent>
    </w:sdt>
    <w:p w:rsidR="008D06B2" w:rsidRDefault="006F704F">
      <w:pPr>
        <w:suppressLineNumbers/>
      </w:pPr>
      <w:r>
        <w:br w:type="page"/>
      </w:r>
    </w:p>
    <w:p w:rsidR="008D06B2" w:rsidRDefault="006F704F">
      <w:pPr>
        <w:suppressLineNumbers/>
        <w:jc w:val="center"/>
      </w:pPr>
      <w:r>
        <w:rPr>
          <w:rFonts w:ascii="Times New Roman"/>
          <w:sz w:val="24"/>
        </w:rPr>
        <w:lastRenderedPageBreak/>
        <w:t>[SIMILAR MATTER FILED IN PREVIOUS SESSION</w:t>
      </w:r>
      <w:r>
        <w:rPr>
          <w:rFonts w:ascii="Times New Roman"/>
          <w:sz w:val="24"/>
        </w:rPr>
        <w:br/>
        <w:t>SEE HOUSE, NO. 3304 OF 2007-2008.]</w:t>
      </w:r>
    </w:p>
    <w:p w:rsidR="008D06B2" w:rsidRDefault="006F704F">
      <w:pPr>
        <w:suppressLineNumbers/>
        <w:spacing w:before="2" w:after="2"/>
        <w:jc w:val="center"/>
      </w:pPr>
      <w:r>
        <w:rPr>
          <w:rFonts w:ascii="Old English Text MT"/>
          <w:sz w:val="32"/>
        </w:rPr>
        <w:t>The Commonwealth of Massachusetts</w:t>
      </w:r>
      <w:r>
        <w:rPr>
          <w:rFonts w:ascii="Old English Text MT"/>
          <w:sz w:val="32"/>
        </w:rPr>
        <w:br/>
      </w:r>
    </w:p>
    <w:p w:rsidR="008D06B2" w:rsidRDefault="006F704F">
      <w:pPr>
        <w:suppressLineNumbers/>
        <w:spacing w:after="2"/>
        <w:jc w:val="center"/>
      </w:pPr>
      <w:r>
        <w:rPr>
          <w:rFonts w:ascii="Times New Roman"/>
          <w:b/>
          <w:sz w:val="24"/>
          <w:vertAlign w:val="superscript"/>
        </w:rPr>
        <w:t>_______________</w:t>
      </w:r>
    </w:p>
    <w:p w:rsidR="008D06B2" w:rsidRDefault="006F704F">
      <w:pPr>
        <w:suppressLineNumbers/>
        <w:spacing w:after="2"/>
        <w:jc w:val="center"/>
      </w:pPr>
      <w:r>
        <w:rPr>
          <w:rFonts w:ascii="Times New Roman"/>
          <w:b/>
          <w:sz w:val="18"/>
        </w:rPr>
        <w:t>In the Year Two Thousand and Nine</w:t>
      </w:r>
    </w:p>
    <w:p w:rsidR="008D06B2" w:rsidRDefault="006F704F">
      <w:pPr>
        <w:suppressLineNumbers/>
        <w:spacing w:after="2"/>
        <w:jc w:val="center"/>
      </w:pPr>
      <w:r>
        <w:rPr>
          <w:rFonts w:ascii="Times New Roman"/>
          <w:b/>
          <w:sz w:val="24"/>
          <w:vertAlign w:val="superscript"/>
        </w:rPr>
        <w:t>_______________</w:t>
      </w:r>
    </w:p>
    <w:p w:rsidR="008D06B2" w:rsidRDefault="006F704F">
      <w:pPr>
        <w:suppressLineNumbers/>
        <w:spacing w:after="2"/>
      </w:pPr>
      <w:r>
        <w:rPr>
          <w:sz w:val="14"/>
        </w:rPr>
        <w:br/>
      </w:r>
      <w:r>
        <w:br/>
      </w:r>
    </w:p>
    <w:p w:rsidR="008D06B2" w:rsidRDefault="006F704F">
      <w:pPr>
        <w:suppressLineNumbers/>
      </w:pPr>
      <w:proofErr w:type="gramStart"/>
      <w:r>
        <w:rPr>
          <w:rFonts w:ascii="Times New Roman"/>
          <w:smallCaps/>
          <w:sz w:val="28"/>
        </w:rPr>
        <w:t>An Act relative to broadband and telecommunications security.</w:t>
      </w:r>
      <w:proofErr w:type="gramEnd"/>
      <w:r>
        <w:br/>
      </w:r>
      <w:r>
        <w:br/>
      </w:r>
      <w:r>
        <w:br/>
      </w:r>
    </w:p>
    <w:p w:rsidR="008D06B2" w:rsidRDefault="006F70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F704F" w:rsidRDefault="006F704F" w:rsidP="006F704F">
      <w:pPr>
        <w:pStyle w:val="NormalWeb"/>
        <w:jc w:val="both"/>
      </w:pPr>
      <w:bookmarkStart w:id="0" w:name="BillText"/>
      <w:bookmarkEnd w:id="0"/>
      <w:proofErr w:type="gramStart"/>
      <w:r>
        <w:rPr>
          <w:sz w:val="20"/>
          <w:szCs w:val="20"/>
        </w:rPr>
        <w:t>SECTION 1.</w:t>
      </w:r>
      <w:proofErr w:type="gramEnd"/>
      <w:r>
        <w:rPr>
          <w:sz w:val="20"/>
          <w:szCs w:val="20"/>
        </w:rPr>
        <w:t xml:space="preserve">  Chapter 166: Section 42B. </w:t>
      </w:r>
      <w:proofErr w:type="gramStart"/>
      <w:r>
        <w:rPr>
          <w:sz w:val="20"/>
          <w:szCs w:val="20"/>
        </w:rPr>
        <w:t>is</w:t>
      </w:r>
      <w:proofErr w:type="gramEnd"/>
      <w:r>
        <w:rPr>
          <w:sz w:val="20"/>
          <w:szCs w:val="20"/>
        </w:rPr>
        <w:t xml:space="preserve"> hereby amended as follows:</w:t>
      </w:r>
      <w:r>
        <w:rPr>
          <w:sz w:val="20"/>
          <w:szCs w:val="20"/>
        </w:rPr>
        <w:br/>
        <w:t>Unlawful telecommunication and access devices; offenses; definitions; penalties; civil remedies.</w:t>
      </w:r>
      <w:r>
        <w:rPr>
          <w:sz w:val="20"/>
          <w:szCs w:val="20"/>
        </w:rPr>
        <w:br/>
        <w:t>(a) Offense defined.—Any person commits an offense if he:</w:t>
      </w:r>
      <w:r>
        <w:rPr>
          <w:sz w:val="20"/>
          <w:szCs w:val="20"/>
        </w:rPr>
        <w:br/>
        <w:t>(1) possesses, uses, manufactures, assembles, distributes, transfers, sells or offers, promotes or advertises for sale, use car distribution any unlawful telecommunication device, or modifies, alters, programs or reprograms a telecommunication device:</w:t>
      </w:r>
      <w:r>
        <w:rPr>
          <w:sz w:val="20"/>
          <w:szCs w:val="20"/>
        </w:rPr>
        <w:br/>
        <w:t>(</w:t>
      </w:r>
      <w:proofErr w:type="spellStart"/>
      <w:r>
        <w:rPr>
          <w:sz w:val="20"/>
          <w:szCs w:val="20"/>
        </w:rPr>
        <w:t>i</w:t>
      </w:r>
      <w:proofErr w:type="spellEnd"/>
      <w:r>
        <w:rPr>
          <w:sz w:val="20"/>
          <w:szCs w:val="20"/>
        </w:rPr>
        <w:t>) for the commission of a theft of telecommunication service or to receive, disrupt, transmit, decrypt, acquire or facilitate the receipt, disruption, transmission, decryption or acquisition of any telecommunication service without the express consent or express authorization of the telecommunication service provider; or</w:t>
      </w:r>
      <w:r>
        <w:rPr>
          <w:sz w:val="20"/>
          <w:szCs w:val="20"/>
        </w:rPr>
        <w:br/>
        <w:t>(ii) to conceal or to assist another to conceal from any telecommunication service provider, or from any lawful authority, the existence or place of origin or destination of any telecommunication; or</w:t>
      </w:r>
      <w:r>
        <w:rPr>
          <w:sz w:val="20"/>
          <w:szCs w:val="20"/>
        </w:rPr>
        <w:br/>
        <w:t>(2) possesses, uses, manufactures, assembles, distributes, transfers, sells, offers, promotes or advertises for sale, use or distribution any unlawful access device; or</w:t>
      </w:r>
      <w:r>
        <w:rPr>
          <w:sz w:val="20"/>
          <w:szCs w:val="20"/>
        </w:rPr>
        <w:br/>
        <w:t>(3) possesses, uses, prepares, distributes, sells, gives, transfers or offers, promotes, publishes or advertises for sale, use or distribution any:</w:t>
      </w:r>
      <w:r>
        <w:rPr>
          <w:sz w:val="20"/>
          <w:szCs w:val="20"/>
        </w:rPr>
        <w:br/>
        <w:t>(</w:t>
      </w:r>
      <w:proofErr w:type="spellStart"/>
      <w:r>
        <w:rPr>
          <w:sz w:val="20"/>
          <w:szCs w:val="20"/>
        </w:rPr>
        <w:t>i</w:t>
      </w:r>
      <w:proofErr w:type="spellEnd"/>
      <w:r>
        <w:rPr>
          <w:sz w:val="20"/>
          <w:szCs w:val="20"/>
        </w:rPr>
        <w:t>) plans or instructions for making or assembling any unlawful telecommunication or access device, under circumstances evidencing an intent to use or employ such unlawful telecommunication or access device, or to allow the same to be used or employed, for a purpose prohibited by this section, or knowing or having reason to believe that the same is intended to be so used, or that the aforesaid plans or instructions are intended to be used for manufacturing or assembling such unlawful telecommunication or access device, or</w:t>
      </w:r>
      <w:r>
        <w:rPr>
          <w:sz w:val="20"/>
          <w:szCs w:val="20"/>
        </w:rPr>
        <w:br/>
        <w:t>(ii) material including hardware, cables, tools, data, computer software or other information or equipment, knowing that the purchaser or a third person intends to use the material in the manufacture or assembly of an unlawful telecommunication or access device.</w:t>
      </w:r>
      <w:r>
        <w:rPr>
          <w:sz w:val="20"/>
          <w:szCs w:val="20"/>
        </w:rPr>
        <w:br/>
        <w:t>(b) Criminal Penalties.—</w:t>
      </w:r>
    </w:p>
    <w:p w:rsidR="006F704F" w:rsidRDefault="006F704F" w:rsidP="006F704F">
      <w:pPr>
        <w:pStyle w:val="NormalWeb"/>
        <w:jc w:val="both"/>
      </w:pPr>
      <w:r>
        <w:rPr>
          <w:sz w:val="20"/>
          <w:szCs w:val="20"/>
        </w:rPr>
        <w:t>(1) (Except for violations of this section as provided for in paragraph (b)(2) or (b)(3), an offense under this section shall be punished by a fine of not more than three thousand dollars or by imprisonment in a jail or house of correction for not more than two and one half years or both.</w:t>
      </w:r>
      <w:r>
        <w:rPr>
          <w:sz w:val="20"/>
          <w:szCs w:val="20"/>
        </w:rPr>
        <w:br/>
        <w:t>(2) An offense under this section shall be punished by a fine of not more than ten thousand dollars and imprisonment in the state prison for not more than ten years, if</w:t>
      </w:r>
      <w:proofErr w:type="gramStart"/>
      <w:r>
        <w:rPr>
          <w:sz w:val="20"/>
          <w:szCs w:val="20"/>
        </w:rPr>
        <w:t>:</w:t>
      </w:r>
      <w:proofErr w:type="gramEnd"/>
      <w:r>
        <w:rPr>
          <w:sz w:val="20"/>
          <w:szCs w:val="20"/>
        </w:rPr>
        <w:br/>
      </w:r>
      <w:r>
        <w:rPr>
          <w:sz w:val="20"/>
          <w:szCs w:val="20"/>
        </w:rPr>
        <w:lastRenderedPageBreak/>
        <w:t>(</w:t>
      </w:r>
      <w:proofErr w:type="spellStart"/>
      <w:r>
        <w:rPr>
          <w:sz w:val="20"/>
          <w:szCs w:val="20"/>
        </w:rPr>
        <w:t>i</w:t>
      </w:r>
      <w:proofErr w:type="spellEnd"/>
      <w:r>
        <w:rPr>
          <w:sz w:val="20"/>
          <w:szCs w:val="20"/>
        </w:rPr>
        <w:t>) the defendant has been convicted previously under this section or convicted of any similar crime in this or any Federal or other state jurisdiction; or</w:t>
      </w:r>
      <w:r>
        <w:rPr>
          <w:sz w:val="20"/>
          <w:szCs w:val="20"/>
        </w:rPr>
        <w:br/>
        <w:t>(ii) the violation of this section involves at least 5, but not more than 50, unlawful telecommunication or access devices.</w:t>
      </w:r>
      <w:r>
        <w:rPr>
          <w:sz w:val="20"/>
          <w:szCs w:val="20"/>
        </w:rPr>
        <w:br/>
        <w:t xml:space="preserve">(3) An offense under this section shall be punished by a fine of not more than thirty thousand dollars and imprisonment in the state prison for not more than fifteen years. </w:t>
      </w:r>
      <w:proofErr w:type="gramStart"/>
      <w:r>
        <w:rPr>
          <w:sz w:val="20"/>
          <w:szCs w:val="20"/>
        </w:rPr>
        <w:t>if</w:t>
      </w:r>
      <w:proofErr w:type="gramEnd"/>
      <w:r>
        <w:rPr>
          <w:sz w:val="20"/>
          <w:szCs w:val="20"/>
        </w:rPr>
        <w:t>:</w:t>
      </w:r>
      <w:r>
        <w:rPr>
          <w:sz w:val="20"/>
          <w:szCs w:val="20"/>
        </w:rPr>
        <w:br/>
        <w:t>(</w:t>
      </w:r>
      <w:proofErr w:type="spellStart"/>
      <w:r>
        <w:rPr>
          <w:sz w:val="20"/>
          <w:szCs w:val="20"/>
        </w:rPr>
        <w:t>i</w:t>
      </w:r>
      <w:proofErr w:type="spellEnd"/>
      <w:r>
        <w:rPr>
          <w:sz w:val="20"/>
          <w:szCs w:val="20"/>
        </w:rPr>
        <w:t>) the defendant has been convicted previously on two or more occasions for offenses under this section or for any similar crime in this or any Federal or other state jurisdiction, or</w:t>
      </w:r>
      <w:r>
        <w:rPr>
          <w:sz w:val="20"/>
          <w:szCs w:val="20"/>
        </w:rPr>
        <w:br/>
        <w:t>(ii) the violation of this section involves more than 50 unlawful telecommunication or access devices.</w:t>
      </w:r>
      <w:r>
        <w:rPr>
          <w:sz w:val="20"/>
          <w:szCs w:val="20"/>
        </w:rPr>
        <w:br/>
        <w:t>(4) For purposes of grading an offense based upon a prior conviction under this section or for any similar crime pursuant to paragraphs (b</w:t>
      </w:r>
      <w:proofErr w:type="gramStart"/>
      <w:r>
        <w:rPr>
          <w:sz w:val="20"/>
          <w:szCs w:val="20"/>
        </w:rPr>
        <w:t>)(</w:t>
      </w:r>
      <w:proofErr w:type="gramEnd"/>
      <w:r>
        <w:rPr>
          <w:sz w:val="20"/>
          <w:szCs w:val="20"/>
        </w:rPr>
        <w:t>2)(</w:t>
      </w:r>
      <w:proofErr w:type="spellStart"/>
      <w:r>
        <w:rPr>
          <w:sz w:val="20"/>
          <w:szCs w:val="20"/>
        </w:rPr>
        <w:t>i</w:t>
      </w:r>
      <w:proofErr w:type="spellEnd"/>
      <w:r>
        <w:rPr>
          <w:sz w:val="20"/>
          <w:szCs w:val="20"/>
        </w:rPr>
        <w:t>) and (b)(3)(</w:t>
      </w:r>
      <w:proofErr w:type="spellStart"/>
      <w:r>
        <w:rPr>
          <w:sz w:val="20"/>
          <w:szCs w:val="20"/>
        </w:rPr>
        <w:t>i</w:t>
      </w:r>
      <w:proofErr w:type="spellEnd"/>
      <w:r>
        <w:rPr>
          <w:sz w:val="20"/>
          <w:szCs w:val="20"/>
        </w:rPr>
        <w:t>), a prior conviction shall consist of convictions upon separate indictments or criminal complaints for offenses under this section or any similar crime in this or any Federal or other state jurisdiction.</w:t>
      </w:r>
      <w:r>
        <w:rPr>
          <w:sz w:val="20"/>
          <w:szCs w:val="20"/>
        </w:rPr>
        <w:br/>
        <w:t>(5) As provided for in paragraphs (b)(2)(</w:t>
      </w:r>
      <w:proofErr w:type="spellStart"/>
      <w:r>
        <w:rPr>
          <w:sz w:val="20"/>
          <w:szCs w:val="20"/>
        </w:rPr>
        <w:t>i</w:t>
      </w:r>
      <w:proofErr w:type="spellEnd"/>
      <w:r>
        <w:rPr>
          <w:sz w:val="20"/>
          <w:szCs w:val="20"/>
        </w:rPr>
        <w:t>) and (b)(3)(</w:t>
      </w:r>
      <w:proofErr w:type="spellStart"/>
      <w:r>
        <w:rPr>
          <w:sz w:val="20"/>
          <w:szCs w:val="20"/>
        </w:rPr>
        <w:t>i</w:t>
      </w:r>
      <w:proofErr w:type="spellEnd"/>
      <w:r>
        <w:rPr>
          <w:sz w:val="20"/>
          <w:szCs w:val="20"/>
        </w:rPr>
        <w:t>), in grading an offense under this section based upon a prior conviction, the term “any similar crime” shall include, but not be limited to offenses involving theft of service or fraud, including violation of the Cable Communications Policy Act of 1984 (Public Law 98-549, 98 Stat. 2779).</w:t>
      </w:r>
    </w:p>
    <w:p w:rsidR="006F704F" w:rsidRDefault="006F704F" w:rsidP="006F704F">
      <w:pPr>
        <w:pStyle w:val="NormalWeb"/>
        <w:jc w:val="both"/>
      </w:pPr>
      <w:r>
        <w:rPr>
          <w:sz w:val="20"/>
          <w:szCs w:val="20"/>
        </w:rPr>
        <w:t>(6) Separate offenses.—For purposes of all criminal penalties or fines established for violations of this section, the prohibited activity established herein as it applies to each unlawful telecommunication or access device shall be deemed a separate offense.</w:t>
      </w:r>
      <w:r>
        <w:rPr>
          <w:sz w:val="20"/>
          <w:szCs w:val="20"/>
        </w:rPr>
        <w:br/>
        <w:t>(7) Fines.—</w:t>
      </w:r>
      <w:proofErr w:type="gramStart"/>
      <w:r>
        <w:rPr>
          <w:sz w:val="20"/>
          <w:szCs w:val="20"/>
        </w:rPr>
        <w:t>For</w:t>
      </w:r>
      <w:proofErr w:type="gramEnd"/>
      <w:r>
        <w:rPr>
          <w:sz w:val="20"/>
          <w:szCs w:val="20"/>
        </w:rPr>
        <w:t xml:space="preserve"> purposes of imposing fines upon conviction of a defendant for an offense under this section, all fines shall be imposed as authorized by law for each unlawful telecommunication or access device involved in the violation of this action.</w:t>
      </w:r>
      <w:r>
        <w:rPr>
          <w:sz w:val="20"/>
          <w:szCs w:val="20"/>
        </w:rPr>
        <w:br/>
        <w:t>(8) Restitution.—</w:t>
      </w:r>
      <w:proofErr w:type="gramStart"/>
      <w:r>
        <w:rPr>
          <w:sz w:val="20"/>
          <w:szCs w:val="20"/>
        </w:rPr>
        <w:t>The</w:t>
      </w:r>
      <w:proofErr w:type="gramEnd"/>
      <w:r>
        <w:rPr>
          <w:sz w:val="20"/>
          <w:szCs w:val="20"/>
        </w:rPr>
        <w:t xml:space="preserve"> court shall, after conviction, conduct an evidentiary hearing to ascertain the extent of the damages or financial loss suffered as a result of the defendant’s crime. A person found guilty of violating this section shall, in all cases, upon conviction, in addition to any other punishment, be ordered to make restitution to the insurer for any financial loss sustained as a result of the commission of the crime; provided, however, that restitution shall not be ordered to a party whom the court determines to be aggrieved without that party’s consent. Restitution shall be imposed in addition to imprisonment and/or fine and not in lieu thereof, provided, however, the court shall consider the defendant’s present and future ability to pay in its determinations regarding a fine.</w:t>
      </w:r>
      <w:r>
        <w:rPr>
          <w:sz w:val="20"/>
          <w:szCs w:val="20"/>
        </w:rPr>
        <w:br/>
        <w:t>In determining the amount, time and method of payment of restitution, the court shall consider the financial resources of the defendant and the burden restitution will impose on the defendant. Upon a real or impending change in financial circumstances, a defendant ordered to pay restitution may petition the court for a modification of the amount, time or method payment of restitution. If the court finds that because of any such change the payment of restitution will impose an undue financial hardship on the defendant or his family, the court may modify the amount, time or method of payment, but may not grant complete remission from payment of restitution.</w:t>
      </w:r>
    </w:p>
    <w:p w:rsidR="006F704F" w:rsidRDefault="006F704F" w:rsidP="006F704F">
      <w:pPr>
        <w:pStyle w:val="NormalWeb"/>
        <w:jc w:val="both"/>
      </w:pPr>
      <w:r>
        <w:rPr>
          <w:sz w:val="20"/>
          <w:szCs w:val="20"/>
        </w:rPr>
        <w:t xml:space="preserve">If a defendant who is required to make restitution defaults in any payment of restitution or installment thereof, the court shall hold him in contempt unless said defendant has made a good faith effort to pay such restitution. If said defendant has made a good faith effort to pay such restitution, the court may modify the amount, time or method of payment. </w:t>
      </w:r>
      <w:proofErr w:type="gramStart"/>
      <w:r>
        <w:rPr>
          <w:sz w:val="20"/>
          <w:szCs w:val="20"/>
        </w:rPr>
        <w:t>but</w:t>
      </w:r>
      <w:proofErr w:type="gramEnd"/>
      <w:r>
        <w:rPr>
          <w:sz w:val="20"/>
          <w:szCs w:val="20"/>
        </w:rPr>
        <w:t xml:space="preserve"> may not grant complete remission for payment of restitution.</w:t>
      </w:r>
      <w:r>
        <w:rPr>
          <w:sz w:val="20"/>
          <w:szCs w:val="20"/>
        </w:rPr>
        <w:br/>
        <w:t>(9) Forfeiture of unlawful telecommunication or access devices.—</w:t>
      </w:r>
      <w:r>
        <w:rPr>
          <w:sz w:val="20"/>
          <w:szCs w:val="20"/>
        </w:rPr>
        <w:br/>
        <w:t>Any unlawful telecommunication or access devices or plans or instructions or publications described in this section may be seized under warrant or incident to a lawful arrest, and, upon the conviction of a person for a violation of this section, such unlawful telecommunication or access devices or plans or instructions or publications may be destroyed as contraband by the sheriff of the county in which such person was convicted.</w:t>
      </w:r>
      <w:r>
        <w:rPr>
          <w:sz w:val="20"/>
          <w:szCs w:val="20"/>
        </w:rPr>
        <w:br/>
        <w:t>(c) Venue.—An offense or violation under this section may be deemed to have been committed at either place where the defendant manufactures or assembles an unlawful telecommunication or access device or assists others in doing so, or the places where the unlawful telecommunication or access device is sold or delivered to a purchaser or recipient. It shall be no defense to a violation of this section that some of the acts constituting the violation occurred outside of this Commonwealth.</w:t>
      </w:r>
      <w:r>
        <w:rPr>
          <w:sz w:val="20"/>
          <w:szCs w:val="20"/>
        </w:rPr>
        <w:br/>
        <w:t>(d) Civil actions.—</w:t>
      </w:r>
      <w:r>
        <w:rPr>
          <w:sz w:val="20"/>
          <w:szCs w:val="20"/>
        </w:rPr>
        <w:br/>
        <w:t xml:space="preserve">(1) </w:t>
      </w:r>
      <w:proofErr w:type="gramStart"/>
      <w:r>
        <w:rPr>
          <w:sz w:val="20"/>
          <w:szCs w:val="20"/>
        </w:rPr>
        <w:t>Any</w:t>
      </w:r>
      <w:proofErr w:type="gramEnd"/>
      <w:r>
        <w:rPr>
          <w:sz w:val="20"/>
          <w:szCs w:val="20"/>
        </w:rPr>
        <w:t xml:space="preserve"> person aggrieved by a violation of this section or Chapter 166, section 42A may bring a civil action in any court of competent jurisdiction.</w:t>
      </w:r>
      <w:r>
        <w:rPr>
          <w:sz w:val="20"/>
          <w:szCs w:val="20"/>
        </w:rPr>
        <w:br/>
      </w:r>
      <w:r>
        <w:rPr>
          <w:sz w:val="20"/>
          <w:szCs w:val="20"/>
        </w:rPr>
        <w:lastRenderedPageBreak/>
        <w:t>(2) In any civil action brought for violations of this section or Chapter 166, section 42A, the court may</w:t>
      </w:r>
      <w:proofErr w:type="gramStart"/>
      <w:r>
        <w:rPr>
          <w:sz w:val="20"/>
          <w:szCs w:val="20"/>
        </w:rPr>
        <w:t>:</w:t>
      </w:r>
      <w:proofErr w:type="gramEnd"/>
      <w:r>
        <w:rPr>
          <w:sz w:val="20"/>
          <w:szCs w:val="20"/>
        </w:rPr>
        <w:br/>
        <w:t>(</w:t>
      </w:r>
      <w:proofErr w:type="spellStart"/>
      <w:r>
        <w:rPr>
          <w:sz w:val="20"/>
          <w:szCs w:val="20"/>
        </w:rPr>
        <w:t>i</w:t>
      </w:r>
      <w:proofErr w:type="spellEnd"/>
      <w:r>
        <w:rPr>
          <w:sz w:val="20"/>
          <w:szCs w:val="20"/>
        </w:rPr>
        <w:t>) grant preliminary and final injunctions to prevent or restrain violation of this section;</w:t>
      </w:r>
    </w:p>
    <w:p w:rsidR="006F704F" w:rsidRDefault="006F704F" w:rsidP="006F704F">
      <w:pPr>
        <w:pStyle w:val="NormalWeb"/>
        <w:jc w:val="both"/>
      </w:pPr>
      <w:r>
        <w:rPr>
          <w:sz w:val="20"/>
          <w:szCs w:val="20"/>
        </w:rPr>
        <w:t>(ii) at any time while an action is pending, order the impounding, on such terms as it deems reasonable, of any unlawful telecommunication or access device that is in the custody or control of the violator and that the court has reasonable cause to believe was involved in the alleged violation of this section or Chapter 166, section 42A;</w:t>
      </w:r>
      <w:r>
        <w:rPr>
          <w:sz w:val="20"/>
          <w:szCs w:val="20"/>
        </w:rPr>
        <w:br/>
        <w:t>(iii) award damages as described in subsection (3) below;</w:t>
      </w:r>
      <w:r>
        <w:rPr>
          <w:sz w:val="20"/>
          <w:szCs w:val="20"/>
        </w:rPr>
        <w:br/>
        <w:t>(iv) in its discretion, award reasonable attorney fees and costs, including, but not limited to, costs for investigation, testing and expert witness fees, to an aggrieved party who prevails; and</w:t>
      </w:r>
      <w:r>
        <w:rPr>
          <w:sz w:val="20"/>
          <w:szCs w:val="20"/>
        </w:rPr>
        <w:br/>
        <w:t>(v) as part of a final judgment or decree finding a violation of this section, order the remedial modification or destruction of any unlawful telecommunication or access device, or any other devices or equipment involved in the violation, that is in the custody or control of the violator, or has been impounded under subparagraph (ii) above.</w:t>
      </w:r>
      <w:r>
        <w:rPr>
          <w:sz w:val="20"/>
          <w:szCs w:val="20"/>
        </w:rPr>
        <w:br/>
        <w:t>(3) Types of damages recoverable.—Damages awarded by a court for violations of this section or Chapter 166, section 42A shall be computed as either of the following</w:t>
      </w:r>
      <w:proofErr w:type="gramStart"/>
      <w:r>
        <w:rPr>
          <w:sz w:val="20"/>
          <w:szCs w:val="20"/>
        </w:rPr>
        <w:t>:</w:t>
      </w:r>
      <w:proofErr w:type="gramEnd"/>
      <w:r>
        <w:rPr>
          <w:sz w:val="20"/>
          <w:szCs w:val="20"/>
        </w:rPr>
        <w:br/>
        <w:t>(</w:t>
      </w:r>
      <w:proofErr w:type="spellStart"/>
      <w:r>
        <w:rPr>
          <w:sz w:val="20"/>
          <w:szCs w:val="20"/>
        </w:rPr>
        <w:t>i</w:t>
      </w:r>
      <w:proofErr w:type="spellEnd"/>
      <w:r>
        <w:rPr>
          <w:sz w:val="20"/>
          <w:szCs w:val="20"/>
        </w:rPr>
        <w:t>) Upon his election of such damages at any time before final judgment is entered, the complaining party may recover the actual damages suffered by him as a result of the violation and any profits of the violator that are attributable to the violation and are not taken into account in computing the actual damages. In determining the violator’s profits, the complaining party shall be required to prove only the violator’s gross revenue, and the violator shall be required to prove his deductible expenses and the elements of profit attributable to factors other than the violation.</w:t>
      </w:r>
    </w:p>
    <w:p w:rsidR="006F704F" w:rsidRDefault="006F704F" w:rsidP="006F704F">
      <w:pPr>
        <w:pStyle w:val="NormalWeb"/>
        <w:jc w:val="both"/>
      </w:pPr>
      <w:r>
        <w:rPr>
          <w:sz w:val="20"/>
          <w:szCs w:val="20"/>
        </w:rPr>
        <w:t xml:space="preserve">(ii) Upon election by the complaining party at any time before final judgment is entered, that party may recover in lieu of actual damages an award of statutory damages of </w:t>
      </w:r>
      <w:proofErr w:type="gramStart"/>
      <w:r>
        <w:rPr>
          <w:sz w:val="20"/>
          <w:szCs w:val="20"/>
        </w:rPr>
        <w:t>between $250 to $10,000 for each violation involved in the action</w:t>
      </w:r>
      <w:proofErr w:type="gramEnd"/>
      <w:r>
        <w:rPr>
          <w:sz w:val="20"/>
          <w:szCs w:val="20"/>
        </w:rPr>
        <w:t>. In all cases, the amount of statutory damages is to be determined by the court, not the jury, as the court considers just. In any case where the court finds that any of the violations of this section or Chapter 166, section 42A were committed willfully and for purposes of commercial advantage or private financial gain, the court in its discretion may increase the award of statutory damages by an amount of not more than $50,000 for each violation involved in the action. Each unlawful telecommunication or access device involved in the action shall be deemed a separate violation and shall entitle the complaining party to a separate award of statutory damages for each such device.</w:t>
      </w:r>
      <w:r>
        <w:rPr>
          <w:sz w:val="20"/>
          <w:szCs w:val="20"/>
        </w:rPr>
        <w:br/>
        <w:t>(4) For purposes of all civil remedies established for violations of this section or Chapter 166, section 42A, the prohibited activity applies to each unlawful telecommunication or access device and shall be deemed a separate violation.</w:t>
      </w:r>
      <w:r>
        <w:rPr>
          <w:sz w:val="20"/>
          <w:szCs w:val="20"/>
        </w:rPr>
        <w:br/>
        <w:t>(e) Definitions.—</w:t>
      </w:r>
      <w:proofErr w:type="gramStart"/>
      <w:r>
        <w:rPr>
          <w:sz w:val="20"/>
          <w:szCs w:val="20"/>
        </w:rPr>
        <w:t>As</w:t>
      </w:r>
      <w:proofErr w:type="gramEnd"/>
      <w:r>
        <w:rPr>
          <w:sz w:val="20"/>
          <w:szCs w:val="20"/>
        </w:rPr>
        <w:t xml:space="preserve"> used in this section, the following words and phrases shall have, the following meanings:—</w:t>
      </w:r>
      <w:r>
        <w:rPr>
          <w:sz w:val="20"/>
          <w:szCs w:val="20"/>
        </w:rPr>
        <w:br/>
        <w:t>(1) “Manufacture of assembly of an unlawful telecommunication device.” To make, produce or assemble an unlawful telecommunication device or to modify, alter, program or reprogram a telecommunication device to be capable of acquiring, disrupting, receiving, transmitting, decrypting or facilitating the acquisition, disruption, receipt, transmission or decryption of a telecommunication service without the express consent or express authorization of the telecommunication service provider, or to knowingly assist others in those activities.</w:t>
      </w:r>
      <w:r>
        <w:rPr>
          <w:sz w:val="20"/>
          <w:szCs w:val="20"/>
        </w:rPr>
        <w:br/>
        <w:t>(2) “Telecommunication device.” Any type of instrument, device, machine, equipment, technology or software which is capable of transmitting, acquiring, decrypting or receiving any telephonic, electronic, data, Internet access, audio, video, microwave or radio transmissions, signals, communications or services, including the receipt, acquisition, transmission or decryption of all such communications, transmissions, signals or services provided by or through any cable television, fiber optic, telephone, satellite, microwave, data transmission, radio, Internet-based or wireless distribution network, system or facility; or any part, accessory or components thereof, including any computer circuit, security module, smart card, software, computer chip, electronic mechanism or other component, accessory or part of any telecommunication device which is capable of facilitating the transmission, decryption, acquisition or reception of any such communications, transmissions, signals or services.</w:t>
      </w:r>
    </w:p>
    <w:p w:rsidR="008D06B2" w:rsidRDefault="006F704F" w:rsidP="006F704F">
      <w:pPr>
        <w:pStyle w:val="NormalWeb"/>
        <w:jc w:val="both"/>
      </w:pPr>
      <w:r>
        <w:rPr>
          <w:sz w:val="20"/>
          <w:szCs w:val="20"/>
        </w:rPr>
        <w:t xml:space="preserve">(3) “Telecommunication service.” Any service provided for a charge or compensation to facilitate the origination, transmission, emission or reception of signs, signals, data, writings, images and sounds or intelligence of any nature by telephone, including cellular telephones, wire, wireless, radio, electromagnetic, </w:t>
      </w:r>
      <w:proofErr w:type="spellStart"/>
      <w:r>
        <w:rPr>
          <w:sz w:val="20"/>
          <w:szCs w:val="20"/>
        </w:rPr>
        <w:t>photoelectronic</w:t>
      </w:r>
      <w:proofErr w:type="spellEnd"/>
      <w:r>
        <w:rPr>
          <w:sz w:val="20"/>
          <w:szCs w:val="20"/>
        </w:rPr>
        <w:t xml:space="preserve"> or photo-optical systems, and any service provided by any radio, telephone, fiber optic, cable television, satellite, microwave, data transmission, wireless or Internet-based distribution system, network, facility or technology, including, but not limited to, any and all electronic, data, video, audio, Internet access, telephonic, microwave and radio </w:t>
      </w:r>
      <w:r>
        <w:rPr>
          <w:sz w:val="20"/>
          <w:szCs w:val="20"/>
        </w:rPr>
        <w:lastRenderedPageBreak/>
        <w:t>communications, transmissions, signals and services, and any such communications, transmissions, signals and services provided directly or indirectly by or through any of the aforementioned systems, networks, facilities or technologies.</w:t>
      </w:r>
      <w:r>
        <w:rPr>
          <w:sz w:val="20"/>
          <w:szCs w:val="20"/>
        </w:rPr>
        <w:br/>
        <w:t>(4) “Telecommunication service provider.” 1) Any person or entity providing a telecommunication service, whether directly or indirectly as a reseller, including, but not limited to, a cellular, paging or other wireless communications company or other person or entity which, for a fee supplies the facility, cell site, mobile telephone switching office or other equipment or telecommunication service; 2) any person or entity owning or operating any fiber optic, cable television, satellite, Internet based, telephone, wireless, microwave, data transmission or radio distribution system network or facility; and 3) any person or entity providing any telecommunication service directly or indirectly by or through any such distribution systems, networks or facilities.</w:t>
      </w:r>
      <w:r>
        <w:rPr>
          <w:sz w:val="20"/>
          <w:szCs w:val="20"/>
        </w:rPr>
        <w:br/>
        <w:t>(5) “Unlawful telecommunication device.” Any electronic serial number, mobile identification number, personal identification number or any unauthorized receipt, acquisition, access, decryption, disclosure, communication transmission or re-transmission, or to knowingly assist others in those activities.</w:t>
      </w:r>
      <w:r>
        <w:rPr>
          <w:sz w:val="22"/>
        </w:rPr>
        <w:tab/>
      </w:r>
    </w:p>
    <w:sectPr w:rsidR="008D06B2" w:rsidSect="008D06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8D06B2"/>
    <w:rsid w:val="006F704F"/>
    <w:rsid w:val="008D0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4F"/>
    <w:rPr>
      <w:rFonts w:ascii="Tahoma" w:hAnsi="Tahoma" w:cs="Tahoma"/>
      <w:sz w:val="16"/>
      <w:szCs w:val="16"/>
    </w:rPr>
  </w:style>
  <w:style w:type="character" w:styleId="LineNumber">
    <w:name w:val="line number"/>
    <w:basedOn w:val="DefaultParagraphFont"/>
    <w:uiPriority w:val="99"/>
    <w:semiHidden/>
    <w:unhideWhenUsed/>
    <w:rsid w:val="006F704F"/>
  </w:style>
  <w:style w:type="paragraph" w:styleId="NormalWeb">
    <w:name w:val="Normal (Web)"/>
    <w:basedOn w:val="Normal"/>
    <w:uiPriority w:val="99"/>
    <w:unhideWhenUsed/>
    <w:rsid w:val="006F70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62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2277</Words>
  <Characters>12979</Characters>
  <Application>Microsoft Office Word</Application>
  <DocSecurity>0</DocSecurity>
  <Lines>108</Lines>
  <Paragraphs>30</Paragraphs>
  <ScaleCrop>false</ScaleCrop>
  <Company>LEG</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2009-01-15T03:15:00Z</dcterms:created>
  <dcterms:modified xsi:type="dcterms:W3CDTF">2009-01-15T03:15:00Z</dcterms:modified>
</cp:coreProperties>
</file>