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02E" w:rsidRDefault="0075761C">
      <w:pPr>
        <w:suppressLineNumbers/>
        <w:spacing w:after="2"/>
        <w:jc w:val="center"/>
      </w:pPr>
      <w:r>
        <w:rPr>
          <w:rFonts w:ascii="Arial"/>
          <w:sz w:val="18"/>
        </w:rPr>
        <w:t>HOUSE DOCKET, NO.         FILED ON: 1/13/2009</w:t>
      </w:r>
    </w:p>
    <w:p w:rsidR="001C302E" w:rsidRDefault="0075761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761C" w:rsidP="00DB534B">
            <w:pPr>
              <w:suppressLineNumbers/>
              <w:jc w:val="right"/>
              <w:rPr>
                <w:b/>
                <w:sz w:val="28"/>
              </w:rPr>
            </w:pPr>
          </w:p>
        </w:tc>
      </w:tr>
    </w:tbl>
    <w:p w:rsidR="001C302E" w:rsidRDefault="0075761C">
      <w:pPr>
        <w:suppressLineNumbers/>
        <w:spacing w:before="2" w:after="2"/>
        <w:jc w:val="center"/>
      </w:pPr>
      <w:r>
        <w:rPr>
          <w:rFonts w:ascii="Old English Text MT"/>
          <w:sz w:val="32"/>
        </w:rPr>
        <w:t>The Commonwealth of Massachusetts</w:t>
      </w:r>
    </w:p>
    <w:p w:rsidR="001C302E" w:rsidRDefault="0075761C">
      <w:pPr>
        <w:suppressLineNumbers/>
        <w:spacing w:after="2"/>
        <w:jc w:val="center"/>
      </w:pPr>
      <w:r>
        <w:rPr>
          <w:rFonts w:ascii="Times New Roman"/>
          <w:b/>
          <w:sz w:val="32"/>
          <w:vertAlign w:val="superscript"/>
        </w:rPr>
        <w:t>_______________</w:t>
      </w:r>
    </w:p>
    <w:p w:rsidR="001C302E" w:rsidRDefault="0075761C">
      <w:pPr>
        <w:suppressLineNumbers/>
        <w:spacing w:before="2"/>
        <w:jc w:val="center"/>
      </w:pPr>
      <w:r>
        <w:rPr>
          <w:rFonts w:ascii="Times New Roman"/>
          <w:sz w:val="20"/>
        </w:rPr>
        <w:t>PRESENTED BY:</w:t>
      </w:r>
    </w:p>
    <w:p w:rsidR="001C302E" w:rsidRDefault="0075761C">
      <w:pPr>
        <w:suppressLineNumbers/>
        <w:spacing w:after="2"/>
        <w:jc w:val="center"/>
      </w:pPr>
      <w:r>
        <w:rPr>
          <w:rFonts w:ascii="Times New Roman"/>
          <w:b/>
          <w:sz w:val="24"/>
        </w:rPr>
        <w:t>Michael A. Costello</w:t>
      </w:r>
    </w:p>
    <w:p w:rsidR="001C302E" w:rsidRDefault="0075761C">
      <w:pPr>
        <w:suppressLineNumbers/>
        <w:jc w:val="center"/>
      </w:pPr>
      <w:r>
        <w:rPr>
          <w:rFonts w:ascii="Times New Roman"/>
          <w:b/>
          <w:sz w:val="32"/>
          <w:vertAlign w:val="superscript"/>
        </w:rPr>
        <w:t>_______________</w:t>
      </w:r>
    </w:p>
    <w:p w:rsidR="001C302E" w:rsidRDefault="007576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302E" w:rsidRDefault="0075761C">
      <w:pPr>
        <w:suppressLineNumbers/>
      </w:pPr>
      <w:r>
        <w:rPr>
          <w:rFonts w:ascii="Times New Roman"/>
          <w:sz w:val="20"/>
        </w:rPr>
        <w:tab/>
        <w:t>The undersigned legislators and/or citizens respectfully petition for the passage of the accompanying bill:</w:t>
      </w:r>
    </w:p>
    <w:p w:rsidR="001C302E" w:rsidRDefault="0075761C">
      <w:pPr>
        <w:suppressLineNumbers/>
        <w:spacing w:after="2"/>
        <w:jc w:val="center"/>
      </w:pPr>
      <w:proofErr w:type="gramStart"/>
      <w:r>
        <w:rPr>
          <w:rFonts w:ascii="Times New Roman"/>
          <w:sz w:val="24"/>
        </w:rPr>
        <w:t>An Act relative to labor and</w:t>
      </w:r>
      <w:r>
        <w:rPr>
          <w:rFonts w:ascii="Times New Roman"/>
          <w:sz w:val="24"/>
        </w:rPr>
        <w:t xml:space="preserve"> industries.</w:t>
      </w:r>
      <w:proofErr w:type="gramEnd"/>
    </w:p>
    <w:p w:rsidR="001C302E" w:rsidRDefault="0075761C">
      <w:pPr>
        <w:suppressLineNumbers/>
        <w:spacing w:after="2"/>
        <w:jc w:val="center"/>
      </w:pPr>
      <w:r>
        <w:rPr>
          <w:rFonts w:ascii="Times New Roman"/>
          <w:b/>
          <w:sz w:val="32"/>
          <w:vertAlign w:val="superscript"/>
        </w:rPr>
        <w:t>_______________</w:t>
      </w:r>
    </w:p>
    <w:p w:rsidR="001C302E" w:rsidRDefault="0075761C">
      <w:pPr>
        <w:suppressLineNumbers/>
        <w:jc w:val="center"/>
      </w:pPr>
      <w:r>
        <w:rPr>
          <w:rFonts w:ascii="Times New Roman"/>
          <w:sz w:val="20"/>
        </w:rPr>
        <w:t>PETITION OF:</w:t>
      </w:r>
    </w:p>
    <w:p w:rsidR="001C302E" w:rsidRDefault="001C302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302E">
            <w:tblPrEx>
              <w:tblCellMar>
                <w:top w:w="0" w:type="dxa"/>
                <w:bottom w:w="0" w:type="dxa"/>
              </w:tblCellMar>
            </w:tblPrEx>
            <w:tc>
              <w:tcPr>
                <w:tcW w:w="4500" w:type="dxa"/>
                <w:tcBorders>
                  <w:top w:val="nil"/>
                  <w:bottom w:val="single" w:sz="4" w:space="0" w:color="auto"/>
                  <w:right w:val="single" w:sz="4" w:space="0" w:color="auto"/>
                </w:tcBorders>
              </w:tcPr>
              <w:p w:rsidR="001C302E" w:rsidRDefault="0075761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302E" w:rsidRDefault="0075761C">
                <w:pPr>
                  <w:suppressLineNumbers/>
                  <w:spacing w:after="2"/>
                  <w:rPr>
                    <w:smallCaps/>
                  </w:rPr>
                </w:pPr>
                <w:r>
                  <w:rPr>
                    <w:rFonts w:ascii="Times New Roman"/>
                    <w:smallCaps/>
                    <w:sz w:val="24"/>
                  </w:rPr>
                  <w:t>District/Address:</w:t>
                </w:r>
              </w:p>
            </w:tc>
          </w:tr>
          <w:tr w:rsidR="001C302E">
            <w:tblPrEx>
              <w:tblCellMar>
                <w:top w:w="0" w:type="dxa"/>
                <w:bottom w:w="0" w:type="dxa"/>
              </w:tblCellMar>
            </w:tblPrEx>
            <w:tc>
              <w:tcPr>
                <w:tcW w:w="4500" w:type="dxa"/>
              </w:tcPr>
              <w:p w:rsidR="001C302E" w:rsidRDefault="0075761C">
                <w:pPr>
                  <w:suppressLineNumbers/>
                  <w:spacing w:after="2"/>
                  <w:rPr>
                    <w:rFonts w:ascii="Times New Roman"/>
                  </w:rPr>
                </w:pPr>
                <w:r>
                  <w:rPr>
                    <w:rFonts w:ascii="Times New Roman"/>
                  </w:rPr>
                  <w:t>Michael A. Costello</w:t>
                </w:r>
              </w:p>
            </w:tc>
            <w:tc>
              <w:tcPr>
                <w:tcW w:w="4500" w:type="dxa"/>
              </w:tcPr>
              <w:p w:rsidR="001C302E" w:rsidRDefault="0075761C">
                <w:pPr>
                  <w:suppressLineNumbers/>
                  <w:spacing w:after="2"/>
                  <w:rPr>
                    <w:rFonts w:ascii="Times New Roman"/>
                  </w:rPr>
                </w:pPr>
                <w:r>
                  <w:rPr>
                    <w:rFonts w:ascii="Times New Roman"/>
                  </w:rPr>
                  <w:t>1st Essex</w:t>
                </w:r>
              </w:p>
            </w:tc>
          </w:tr>
        </w:tbl>
      </w:sdtContent>
    </w:sdt>
    <w:p w:rsidR="001C302E" w:rsidRDefault="0075761C">
      <w:pPr>
        <w:suppressLineNumbers/>
      </w:pPr>
      <w:r>
        <w:br w:type="page"/>
      </w:r>
    </w:p>
    <w:p w:rsidR="001C302E" w:rsidRDefault="0075761C">
      <w:pPr>
        <w:suppressLineNumbers/>
        <w:spacing w:before="2" w:after="2"/>
        <w:jc w:val="center"/>
      </w:pPr>
      <w:r>
        <w:rPr>
          <w:rFonts w:ascii="Old English Text MT"/>
          <w:sz w:val="32"/>
        </w:rPr>
        <w:lastRenderedPageBreak/>
        <w:t>The Commonwealth of Massachusetts</w:t>
      </w:r>
      <w:r>
        <w:rPr>
          <w:rFonts w:ascii="Old English Text MT"/>
          <w:sz w:val="32"/>
        </w:rPr>
        <w:br/>
      </w:r>
    </w:p>
    <w:p w:rsidR="001C302E" w:rsidRDefault="0075761C">
      <w:pPr>
        <w:suppressLineNumbers/>
        <w:spacing w:after="2"/>
        <w:jc w:val="center"/>
      </w:pPr>
      <w:r>
        <w:rPr>
          <w:rFonts w:ascii="Times New Roman"/>
          <w:b/>
          <w:sz w:val="24"/>
          <w:vertAlign w:val="superscript"/>
        </w:rPr>
        <w:t>_______________</w:t>
      </w:r>
    </w:p>
    <w:p w:rsidR="001C302E" w:rsidRDefault="0075761C">
      <w:pPr>
        <w:suppressLineNumbers/>
        <w:spacing w:after="2"/>
        <w:jc w:val="center"/>
      </w:pPr>
      <w:r>
        <w:rPr>
          <w:rFonts w:ascii="Times New Roman"/>
          <w:b/>
          <w:sz w:val="18"/>
        </w:rPr>
        <w:t>In the Year Two Thousand and Nine</w:t>
      </w:r>
    </w:p>
    <w:p w:rsidR="001C302E" w:rsidRDefault="0075761C">
      <w:pPr>
        <w:suppressLineNumbers/>
        <w:spacing w:after="2"/>
        <w:jc w:val="center"/>
      </w:pPr>
      <w:r>
        <w:rPr>
          <w:rFonts w:ascii="Times New Roman"/>
          <w:b/>
          <w:sz w:val="24"/>
          <w:vertAlign w:val="superscript"/>
        </w:rPr>
        <w:t>_______________</w:t>
      </w:r>
    </w:p>
    <w:p w:rsidR="001C302E" w:rsidRDefault="0075761C">
      <w:pPr>
        <w:suppressLineNumbers/>
        <w:spacing w:after="2"/>
      </w:pPr>
      <w:r>
        <w:rPr>
          <w:sz w:val="14"/>
        </w:rPr>
        <w:br/>
      </w:r>
      <w:r>
        <w:br/>
      </w:r>
    </w:p>
    <w:p w:rsidR="001C302E" w:rsidRDefault="0075761C">
      <w:pPr>
        <w:suppressLineNumbers/>
      </w:pPr>
      <w:proofErr w:type="gramStart"/>
      <w:r>
        <w:rPr>
          <w:rFonts w:ascii="Times New Roman"/>
          <w:smallCaps/>
          <w:sz w:val="28"/>
        </w:rPr>
        <w:t>An Act relative to labor and industries.</w:t>
      </w:r>
      <w:proofErr w:type="gramEnd"/>
      <w:r>
        <w:br/>
      </w:r>
      <w:r>
        <w:br/>
      </w:r>
      <w:r>
        <w:br/>
      </w:r>
    </w:p>
    <w:p w:rsidR="001C302E" w:rsidRDefault="0075761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5761C" w:rsidRPr="0075761C" w:rsidRDefault="0075761C" w:rsidP="0075761C">
      <w:pPr>
        <w:spacing w:line="336" w:lineRule="auto"/>
        <w:rPr>
          <w:rFonts w:ascii="Times New Roman"/>
        </w:rPr>
      </w:pPr>
      <w:proofErr w:type="gramStart"/>
      <w:r w:rsidRPr="0075761C">
        <w:rPr>
          <w:rFonts w:ascii="Times New Roman"/>
        </w:rPr>
        <w:t>SECTION 1.</w:t>
      </w:r>
      <w:proofErr w:type="gramEnd"/>
      <w:r w:rsidRPr="0075761C">
        <w:rPr>
          <w:rFonts w:ascii="Times New Roman"/>
        </w:rPr>
        <w:t xml:space="preserve">  Section 5 of Chapter 151B of the General Laws, as appearing in the 2004 Official Edition, is hereby amended by: (1) reformatting the second full paragraph by adding to the beginning of the first line of  the second paragraph  before the word </w:t>
      </w:r>
      <w:r w:rsidRPr="0075761C">
        <w:rPr>
          <w:rFonts w:ascii="Times New Roman"/>
        </w:rPr>
        <w:t>“</w:t>
      </w:r>
      <w:r w:rsidRPr="0075761C">
        <w:rPr>
          <w:rFonts w:ascii="Times New Roman"/>
        </w:rPr>
        <w:t>After</w:t>
      </w:r>
      <w:r w:rsidRPr="0075761C">
        <w:rPr>
          <w:rFonts w:ascii="Times New Roman"/>
        </w:rPr>
        <w:t>”</w:t>
      </w:r>
      <w:r w:rsidRPr="0075761C">
        <w:rPr>
          <w:rFonts w:ascii="Times New Roman"/>
        </w:rPr>
        <w:t xml:space="preserve"> the following subsection indicator:  </w:t>
      </w:r>
      <w:r w:rsidRPr="0075761C">
        <w:rPr>
          <w:rFonts w:ascii="Times New Roman"/>
        </w:rPr>
        <w:t>“</w:t>
      </w:r>
      <w:r w:rsidRPr="0075761C">
        <w:rPr>
          <w:rFonts w:ascii="Times New Roman"/>
        </w:rPr>
        <w:t>(a)</w:t>
      </w:r>
      <w:r w:rsidRPr="0075761C">
        <w:rPr>
          <w:rFonts w:ascii="Times New Roman"/>
        </w:rPr>
        <w:t>”</w:t>
      </w:r>
      <w:r w:rsidRPr="0075761C">
        <w:rPr>
          <w:rFonts w:ascii="Times New Roman"/>
        </w:rPr>
        <w:t xml:space="preserve">; (2) reformatting the second full paragraph by adding to the beginning of the tenth line of  the second paragraph before the clause </w:t>
      </w:r>
      <w:r w:rsidRPr="0075761C">
        <w:rPr>
          <w:rFonts w:ascii="Times New Roman"/>
        </w:rPr>
        <w:t>“</w:t>
      </w:r>
      <w:r w:rsidRPr="0075761C">
        <w:rPr>
          <w:rFonts w:ascii="Times New Roman"/>
        </w:rPr>
        <w:t>If such commissioner</w:t>
      </w:r>
      <w:r w:rsidRPr="0075761C">
        <w:rPr>
          <w:rFonts w:ascii="Times New Roman"/>
        </w:rPr>
        <w:t>”</w:t>
      </w:r>
      <w:r w:rsidRPr="0075761C">
        <w:rPr>
          <w:rFonts w:ascii="Times New Roman"/>
        </w:rPr>
        <w:t xml:space="preserve"> the following indented subparagraph number: </w:t>
      </w:r>
      <w:r w:rsidRPr="0075761C">
        <w:rPr>
          <w:rFonts w:ascii="Times New Roman"/>
        </w:rPr>
        <w:t>“</w:t>
      </w:r>
      <w:r w:rsidRPr="0075761C">
        <w:rPr>
          <w:rFonts w:ascii="Times New Roman"/>
        </w:rPr>
        <w:t>(1)</w:t>
      </w:r>
      <w:r w:rsidRPr="0075761C">
        <w:rPr>
          <w:rFonts w:ascii="Times New Roman"/>
        </w:rPr>
        <w:t>”</w:t>
      </w:r>
      <w:r w:rsidRPr="0075761C">
        <w:rPr>
          <w:rFonts w:ascii="Times New Roman"/>
        </w:rPr>
        <w:t xml:space="preserve">; (3) reformatting the second full paragraph by adding to the twenty eighth line of the second paragraph before the clause </w:t>
      </w:r>
      <w:r w:rsidRPr="0075761C">
        <w:rPr>
          <w:rFonts w:ascii="Times New Roman"/>
        </w:rPr>
        <w:t>“</w:t>
      </w:r>
      <w:r w:rsidRPr="0075761C">
        <w:rPr>
          <w:rFonts w:ascii="Times New Roman"/>
        </w:rPr>
        <w:t>If such commissioner</w:t>
      </w:r>
      <w:r w:rsidRPr="0075761C">
        <w:rPr>
          <w:rFonts w:ascii="Times New Roman"/>
        </w:rPr>
        <w:t>”</w:t>
      </w:r>
      <w:r w:rsidRPr="0075761C">
        <w:rPr>
          <w:rFonts w:ascii="Times New Roman"/>
        </w:rPr>
        <w:t xml:space="preserve"> the following indented subparagraph number: </w:t>
      </w:r>
      <w:r w:rsidRPr="0075761C">
        <w:rPr>
          <w:rFonts w:ascii="Times New Roman"/>
        </w:rPr>
        <w:t>“</w:t>
      </w:r>
      <w:r w:rsidRPr="0075761C">
        <w:rPr>
          <w:rFonts w:ascii="Times New Roman"/>
        </w:rPr>
        <w:t>(2)</w:t>
      </w:r>
      <w:r w:rsidRPr="0075761C">
        <w:rPr>
          <w:rFonts w:ascii="Times New Roman"/>
        </w:rPr>
        <w:t>”</w:t>
      </w:r>
      <w:r w:rsidRPr="0075761C">
        <w:rPr>
          <w:rFonts w:ascii="Times New Roman"/>
        </w:rPr>
        <w:t xml:space="preserve">; (4) inserting the words </w:t>
      </w:r>
      <w:r w:rsidRPr="0075761C">
        <w:rPr>
          <w:rFonts w:ascii="Times New Roman"/>
        </w:rPr>
        <w:t>“</w:t>
      </w:r>
      <w:r w:rsidRPr="0075761C">
        <w:rPr>
          <w:rFonts w:ascii="Times New Roman"/>
        </w:rPr>
        <w:t>in a complaint relative to a housing practice</w:t>
      </w:r>
      <w:r w:rsidRPr="0075761C">
        <w:rPr>
          <w:rFonts w:ascii="Times New Roman"/>
        </w:rPr>
        <w:t>”</w:t>
      </w:r>
      <w:r w:rsidRPr="0075761C">
        <w:rPr>
          <w:rFonts w:ascii="Times New Roman"/>
        </w:rPr>
        <w:t xml:space="preserve"> after the clause </w:t>
      </w:r>
      <w:r w:rsidRPr="0075761C">
        <w:rPr>
          <w:rFonts w:ascii="Times New Roman"/>
        </w:rPr>
        <w:t>“</w:t>
      </w:r>
      <w:r w:rsidRPr="0075761C">
        <w:rPr>
          <w:rFonts w:ascii="Times New Roman"/>
        </w:rPr>
        <w:t>of the matter</w:t>
      </w:r>
      <w:r w:rsidRPr="0075761C">
        <w:rPr>
          <w:rFonts w:ascii="Times New Roman"/>
        </w:rPr>
        <w:t>”</w:t>
      </w:r>
      <w:r w:rsidRPr="0075761C">
        <w:rPr>
          <w:rFonts w:ascii="Times New Roman"/>
        </w:rPr>
        <w:t xml:space="preserve"> in the thirtieth line of the second full paragraph; (5) striking the word </w:t>
      </w:r>
      <w:r w:rsidRPr="0075761C">
        <w:rPr>
          <w:rFonts w:ascii="Times New Roman"/>
        </w:rPr>
        <w:t>“</w:t>
      </w:r>
      <w:r w:rsidRPr="0075761C">
        <w:rPr>
          <w:rFonts w:ascii="Times New Roman"/>
        </w:rPr>
        <w:t>he</w:t>
      </w:r>
      <w:r w:rsidRPr="0075761C">
        <w:rPr>
          <w:rFonts w:ascii="Times New Roman"/>
        </w:rPr>
        <w:t>”</w:t>
      </w:r>
      <w:r w:rsidRPr="0075761C">
        <w:rPr>
          <w:rFonts w:ascii="Times New Roman"/>
        </w:rPr>
        <w:t xml:space="preserve"> in the thirtieth line of the second full paragraph and replacing it with the words </w:t>
      </w:r>
      <w:r w:rsidRPr="0075761C">
        <w:rPr>
          <w:rFonts w:ascii="Times New Roman"/>
        </w:rPr>
        <w:t>“</w:t>
      </w:r>
      <w:r w:rsidRPr="0075761C">
        <w:rPr>
          <w:rFonts w:ascii="Times New Roman"/>
        </w:rPr>
        <w:t>the commissioner</w:t>
      </w:r>
      <w:r w:rsidRPr="0075761C">
        <w:rPr>
          <w:rFonts w:ascii="Times New Roman"/>
        </w:rPr>
        <w:t>”</w:t>
      </w:r>
      <w:r w:rsidRPr="0075761C">
        <w:rPr>
          <w:rFonts w:ascii="Times New Roman"/>
        </w:rPr>
        <w:t xml:space="preserve">; (6) reformatting the second full paragraph by adding to the sentence in the thirty fifth line beginning with the words </w:t>
      </w:r>
      <w:r w:rsidRPr="0075761C">
        <w:rPr>
          <w:rFonts w:ascii="Times New Roman"/>
        </w:rPr>
        <w:t>“</w:t>
      </w:r>
      <w:r w:rsidRPr="0075761C">
        <w:rPr>
          <w:rFonts w:ascii="Times New Roman"/>
        </w:rPr>
        <w:t>In case of</w:t>
      </w:r>
      <w:r w:rsidRPr="0075761C">
        <w:rPr>
          <w:rFonts w:ascii="Times New Roman"/>
        </w:rPr>
        <w:t>”</w:t>
      </w:r>
      <w:r w:rsidRPr="0075761C">
        <w:rPr>
          <w:rFonts w:ascii="Times New Roman"/>
        </w:rPr>
        <w:t xml:space="preserve"> the following indented subparagraph number: </w:t>
      </w:r>
      <w:r w:rsidRPr="0075761C">
        <w:rPr>
          <w:rFonts w:ascii="Times New Roman"/>
        </w:rPr>
        <w:t>“</w:t>
      </w:r>
      <w:r w:rsidRPr="0075761C">
        <w:rPr>
          <w:rFonts w:ascii="Times New Roman"/>
        </w:rPr>
        <w:t>(3)</w:t>
      </w:r>
      <w:r w:rsidRPr="0075761C">
        <w:rPr>
          <w:rFonts w:ascii="Times New Roman"/>
        </w:rPr>
        <w:t>”</w:t>
      </w:r>
      <w:r w:rsidRPr="0075761C">
        <w:rPr>
          <w:rFonts w:ascii="Times New Roman"/>
        </w:rPr>
        <w:t xml:space="preserve">; (7) striking the words </w:t>
      </w:r>
      <w:r w:rsidRPr="0075761C">
        <w:rPr>
          <w:rFonts w:ascii="Times New Roman"/>
        </w:rPr>
        <w:t>“</w:t>
      </w:r>
      <w:r w:rsidRPr="0075761C">
        <w:rPr>
          <w:rFonts w:ascii="Times New Roman"/>
        </w:rPr>
        <w:t>or in advance thereof if in his judgment circumstances so warrant, he</w:t>
      </w:r>
      <w:r w:rsidRPr="0075761C">
        <w:rPr>
          <w:rFonts w:ascii="Times New Roman"/>
        </w:rPr>
        <w:t>”</w:t>
      </w:r>
      <w:r w:rsidRPr="0075761C">
        <w:rPr>
          <w:rFonts w:ascii="Times New Roman"/>
        </w:rPr>
        <w:t xml:space="preserve"> in the thirty sixth line and replacing them with the following:</w:t>
      </w:r>
    </w:p>
    <w:p w:rsidR="0075761C" w:rsidRPr="0075761C" w:rsidRDefault="0075761C" w:rsidP="0075761C">
      <w:pPr>
        <w:spacing w:line="336" w:lineRule="auto"/>
        <w:rPr>
          <w:rFonts w:ascii="Times New Roman"/>
        </w:rPr>
      </w:pPr>
      <w:proofErr w:type="gramStart"/>
      <w:r w:rsidRPr="0075761C">
        <w:rPr>
          <w:rFonts w:ascii="Times New Roman"/>
        </w:rPr>
        <w:t>and</w:t>
      </w:r>
      <w:proofErr w:type="gramEnd"/>
      <w:r w:rsidRPr="0075761C">
        <w:rPr>
          <w:rFonts w:ascii="Times New Roman"/>
        </w:rPr>
        <w:t xml:space="preserve"> if the matter involves a complaint relative to an employment practice the commissioner shall immediately serve notice upon the complainant and respondent of their right to elect judicial determination of the complaint as an alternative to determination in a hearing before the commission. If a complainant or respondent so notified wishes to elect such judicial determination, he shall do so in writing within twenty days of receipt of the said notice. The person making such election shall give notice of such election to the commission and to all other complainants and respondents to whom the probable cause finding relates. The commission, upon receipt of such notice, shall dismiss the complaint pending before it as to all parties without prejudice and the complainant shall be barred from subsequently </w:t>
      </w:r>
      <w:r w:rsidRPr="0075761C">
        <w:rPr>
          <w:rFonts w:ascii="Times New Roman"/>
        </w:rPr>
        <w:lastRenderedPageBreak/>
        <w:t>bringing a complaint on the same matter before the commission. If any complainant or respondent elects judicial determination as aforesaid, the commission shall authorize, and not later than thirty days after the election is made the complainant, through counsel, or the attorney general, in the case of an unrepresented complainant, shall commence and maintain, a civil action on behalf of the complainant in the superior court for the county in which the unlawful practice occurred. Any complainant may intervene as of right in said civil action.  If conciliation efforts have failed with regard to an employment or housing complaint, and no complainant or respondent has elected judicial determination in accordance with the procedures outlined above, the commissioner.;</w:t>
      </w:r>
    </w:p>
    <w:p w:rsidR="0075761C" w:rsidRPr="0075761C" w:rsidRDefault="0075761C" w:rsidP="0075761C">
      <w:pPr>
        <w:spacing w:line="336" w:lineRule="auto"/>
        <w:rPr>
          <w:rFonts w:ascii="Times New Roman"/>
        </w:rPr>
      </w:pPr>
    </w:p>
    <w:p w:rsidR="0075761C" w:rsidRPr="0075761C" w:rsidRDefault="0075761C" w:rsidP="0075761C">
      <w:pPr>
        <w:spacing w:line="336" w:lineRule="auto"/>
        <w:rPr>
          <w:rFonts w:ascii="Times New Roman"/>
        </w:rPr>
      </w:pPr>
    </w:p>
    <w:p w:rsidR="0075761C" w:rsidRPr="0075761C" w:rsidRDefault="0075761C" w:rsidP="0075761C">
      <w:pPr>
        <w:spacing w:line="336" w:lineRule="auto"/>
        <w:rPr>
          <w:rFonts w:ascii="Times New Roman"/>
        </w:rPr>
      </w:pPr>
      <w:r w:rsidRPr="0075761C">
        <w:rPr>
          <w:rFonts w:ascii="Times New Roman"/>
        </w:rPr>
        <w:t xml:space="preserve">(8) reformatting the third full paragraph by adding to the beginning of the first sentence of the third full paragraph the following subparagraph number: </w:t>
      </w:r>
      <w:r w:rsidRPr="0075761C">
        <w:rPr>
          <w:rFonts w:ascii="Times New Roman"/>
        </w:rPr>
        <w:t>“</w:t>
      </w:r>
      <w:r w:rsidRPr="0075761C">
        <w:rPr>
          <w:rFonts w:ascii="Times New Roman"/>
        </w:rPr>
        <w:t>(c)</w:t>
      </w:r>
      <w:r w:rsidRPr="0075761C">
        <w:rPr>
          <w:rFonts w:ascii="Times New Roman"/>
        </w:rPr>
        <w:t>”</w:t>
      </w:r>
      <w:r w:rsidRPr="0075761C">
        <w:rPr>
          <w:rFonts w:ascii="Times New Roman"/>
        </w:rPr>
        <w:t xml:space="preserve">; (9) reformatting the fourth full paragraph by adding to the beginning of the first sentence of the fourth full paragraph the following subparagraph number: </w:t>
      </w:r>
      <w:r w:rsidRPr="0075761C">
        <w:rPr>
          <w:rFonts w:ascii="Times New Roman"/>
        </w:rPr>
        <w:t>“</w:t>
      </w:r>
      <w:r w:rsidRPr="0075761C">
        <w:rPr>
          <w:rFonts w:ascii="Times New Roman"/>
        </w:rPr>
        <w:t>(d)</w:t>
      </w:r>
      <w:r w:rsidRPr="0075761C">
        <w:rPr>
          <w:rFonts w:ascii="Times New Roman"/>
        </w:rPr>
        <w:t>”</w:t>
      </w:r>
      <w:r w:rsidRPr="0075761C">
        <w:rPr>
          <w:rFonts w:ascii="Times New Roman"/>
        </w:rPr>
        <w:t xml:space="preserve">; (10) changing the subparagraph indicator in the fourth line of the fourth full paragraph from </w:t>
      </w:r>
      <w:r w:rsidRPr="0075761C">
        <w:rPr>
          <w:rFonts w:ascii="Times New Roman"/>
        </w:rPr>
        <w:t>“</w:t>
      </w:r>
      <w:r w:rsidRPr="0075761C">
        <w:rPr>
          <w:rFonts w:ascii="Times New Roman"/>
        </w:rPr>
        <w:t>(a)</w:t>
      </w:r>
      <w:r w:rsidRPr="0075761C">
        <w:rPr>
          <w:rFonts w:ascii="Times New Roman"/>
        </w:rPr>
        <w:t>”</w:t>
      </w:r>
      <w:r w:rsidRPr="0075761C">
        <w:rPr>
          <w:rFonts w:ascii="Times New Roman"/>
        </w:rPr>
        <w:t xml:space="preserve"> to </w:t>
      </w:r>
      <w:r w:rsidRPr="0075761C">
        <w:rPr>
          <w:rFonts w:ascii="Times New Roman"/>
        </w:rPr>
        <w:t>“</w:t>
      </w:r>
      <w:r w:rsidRPr="0075761C">
        <w:rPr>
          <w:rFonts w:ascii="Times New Roman"/>
        </w:rPr>
        <w:t>(1)</w:t>
      </w:r>
      <w:r w:rsidRPr="0075761C">
        <w:rPr>
          <w:rFonts w:ascii="Times New Roman"/>
        </w:rPr>
        <w:t>”</w:t>
      </w:r>
      <w:r w:rsidRPr="0075761C">
        <w:rPr>
          <w:rFonts w:ascii="Times New Roman"/>
        </w:rPr>
        <w:t xml:space="preserve">; (11) changing the subparagraph indicator in the sixth line of the fourth full paragraph from </w:t>
      </w:r>
      <w:r w:rsidRPr="0075761C">
        <w:rPr>
          <w:rFonts w:ascii="Times New Roman"/>
        </w:rPr>
        <w:t>“</w:t>
      </w:r>
      <w:r w:rsidRPr="0075761C">
        <w:rPr>
          <w:rFonts w:ascii="Times New Roman"/>
        </w:rPr>
        <w:t>(b)</w:t>
      </w:r>
      <w:r w:rsidRPr="0075761C">
        <w:rPr>
          <w:rFonts w:ascii="Times New Roman"/>
        </w:rPr>
        <w:t>”</w:t>
      </w:r>
      <w:r w:rsidRPr="0075761C">
        <w:rPr>
          <w:rFonts w:ascii="Times New Roman"/>
        </w:rPr>
        <w:t xml:space="preserve"> to </w:t>
      </w:r>
      <w:r w:rsidRPr="0075761C">
        <w:rPr>
          <w:rFonts w:ascii="Times New Roman"/>
        </w:rPr>
        <w:t>“</w:t>
      </w:r>
      <w:r w:rsidRPr="0075761C">
        <w:rPr>
          <w:rFonts w:ascii="Times New Roman"/>
        </w:rPr>
        <w:t>(2)</w:t>
      </w:r>
      <w:r w:rsidRPr="0075761C">
        <w:rPr>
          <w:rFonts w:ascii="Times New Roman"/>
        </w:rPr>
        <w:t>”</w:t>
      </w:r>
      <w:r w:rsidRPr="0075761C">
        <w:rPr>
          <w:rFonts w:ascii="Times New Roman"/>
        </w:rPr>
        <w:t xml:space="preserve">; (12) changing the subparagraph indicator in the ninth line of the fourth full paragraph from </w:t>
      </w:r>
      <w:r w:rsidRPr="0075761C">
        <w:rPr>
          <w:rFonts w:ascii="Times New Roman"/>
        </w:rPr>
        <w:t>“</w:t>
      </w:r>
      <w:r w:rsidRPr="0075761C">
        <w:rPr>
          <w:rFonts w:ascii="Times New Roman"/>
        </w:rPr>
        <w:t>(c)</w:t>
      </w:r>
      <w:r w:rsidRPr="0075761C">
        <w:rPr>
          <w:rFonts w:ascii="Times New Roman"/>
        </w:rPr>
        <w:t>”</w:t>
      </w:r>
      <w:r w:rsidRPr="0075761C">
        <w:rPr>
          <w:rFonts w:ascii="Times New Roman"/>
        </w:rPr>
        <w:t xml:space="preserve"> to </w:t>
      </w:r>
      <w:r w:rsidRPr="0075761C">
        <w:rPr>
          <w:rFonts w:ascii="Times New Roman"/>
        </w:rPr>
        <w:t>“</w:t>
      </w:r>
      <w:r w:rsidRPr="0075761C">
        <w:rPr>
          <w:rFonts w:ascii="Times New Roman"/>
        </w:rPr>
        <w:t>(3)</w:t>
      </w:r>
      <w:r w:rsidRPr="0075761C">
        <w:rPr>
          <w:rFonts w:ascii="Times New Roman"/>
        </w:rPr>
        <w:t>”</w:t>
      </w:r>
      <w:r w:rsidRPr="0075761C">
        <w:rPr>
          <w:rFonts w:ascii="Times New Roman"/>
        </w:rPr>
        <w:t xml:space="preserve">; (13) adding the following new subparagraph at the end of Section 5 :  </w:t>
      </w:r>
    </w:p>
    <w:p w:rsidR="0075761C" w:rsidRPr="0075761C" w:rsidRDefault="0075761C" w:rsidP="0075761C">
      <w:pPr>
        <w:spacing w:line="336" w:lineRule="auto"/>
        <w:rPr>
          <w:rFonts w:ascii="Times New Roman"/>
        </w:rPr>
      </w:pPr>
      <w:r w:rsidRPr="0075761C">
        <w:rPr>
          <w:rFonts w:ascii="Times New Roman"/>
        </w:rPr>
        <w:t>(e)  As of the effective date of this Section, where a public hearing in an employment discrimination matter was held prior to May 6, 2004 and where the parties to such public hearing have not yet exhausted all avenues of judicial review, remand or appeal available under G.L. chapter 30A or otherwise entered into a binding resolution of the matter, the commissioner shall immediately serve notice upon the complainant and respondent of their right to elect judicial determination of the complaint.  If a complainant or respondent so notified wishes to elect such judicial determination, he shall do so in writing within twenty days of receipt of the said notice. The person making such election shall give notice of such election to the commission and to all other complainants and respondents to whom the probable cause finding relates. The commission, upon receipt of such notice, shall dismiss the complaint filed and/or vacate the finding of the commission arising out of the public hearing as to all parties without prejudice and the complainant shall be barred from subsequently bringing a complaint on the same matter before the commission. If any complainant or respondent elects judicial determination as aforesaid, the commission shall authorize, and not later than thirty days after the election is made the complainant, through counsel, or the attorney general, in the case of an unrepresented complainant, to commence and maintain, a civil action on behalf of the complainant in the superior court for the county in which the unlawful practice occurred. Any complainant may intervene as of right in said civil action.  Any party to any such civil action shall be entitled to a trial by jury, if so elected</w:t>
      </w:r>
      <w:proofErr w:type="gramStart"/>
      <w:r w:rsidRPr="0075761C">
        <w:rPr>
          <w:rFonts w:ascii="Times New Roman"/>
        </w:rPr>
        <w:t>.;</w:t>
      </w:r>
      <w:proofErr w:type="gramEnd"/>
      <w:r w:rsidRPr="0075761C">
        <w:rPr>
          <w:rFonts w:ascii="Times New Roman"/>
        </w:rPr>
        <w:t xml:space="preserve"> </w:t>
      </w:r>
    </w:p>
    <w:p w:rsidR="0075761C" w:rsidRPr="0075761C" w:rsidRDefault="0075761C" w:rsidP="0075761C">
      <w:pPr>
        <w:spacing w:line="336" w:lineRule="auto"/>
        <w:rPr>
          <w:rFonts w:ascii="Times New Roman"/>
        </w:rPr>
      </w:pPr>
    </w:p>
    <w:p w:rsidR="0075761C" w:rsidRPr="0075761C" w:rsidRDefault="0075761C" w:rsidP="0075761C">
      <w:pPr>
        <w:spacing w:line="336" w:lineRule="auto"/>
        <w:rPr>
          <w:rFonts w:ascii="Times New Roman"/>
        </w:rPr>
      </w:pPr>
      <w:proofErr w:type="gramStart"/>
      <w:r w:rsidRPr="0075761C">
        <w:rPr>
          <w:rFonts w:ascii="Times New Roman"/>
        </w:rPr>
        <w:t>and</w:t>
      </w:r>
      <w:proofErr w:type="gramEnd"/>
      <w:r w:rsidRPr="0075761C">
        <w:rPr>
          <w:rFonts w:ascii="Times New Roman"/>
        </w:rPr>
        <w:t xml:space="preserve"> (14) adding the following new subparagraph at the end of Section 5 section (e): </w:t>
      </w:r>
    </w:p>
    <w:p w:rsidR="0075761C" w:rsidRPr="0075761C" w:rsidRDefault="0075761C" w:rsidP="0075761C">
      <w:pPr>
        <w:spacing w:line="336" w:lineRule="auto"/>
        <w:rPr>
          <w:rFonts w:ascii="Times New Roman"/>
        </w:rPr>
      </w:pPr>
    </w:p>
    <w:p w:rsidR="001C302E" w:rsidRDefault="0075761C">
      <w:pPr>
        <w:spacing w:line="336" w:lineRule="auto"/>
      </w:pPr>
      <w:r w:rsidRPr="0075761C">
        <w:rPr>
          <w:rFonts w:ascii="Times New Roman"/>
        </w:rPr>
        <w:t>(f) The provisions of this Section, as amended, shall take immediate affect and shall be immediately applicable to: (1) all matters currently pending before the Commission; and (2) all employment discrimination matters where a public hearing was held prior to May 6, 2004 and where the parties to such public hearing have not yet exhausted all avenues of judicial review, remand or appeal available under G.L. chapter 30A or otherwise entered into a binding resolution of the matter.</w:t>
      </w:r>
      <w:r w:rsidRPr="0075761C">
        <w:rPr>
          <w:rFonts w:ascii="Times New Roman"/>
        </w:rPr>
        <w:t>”</w:t>
      </w:r>
      <w:r>
        <w:rPr>
          <w:rFonts w:ascii="Times New Roman"/>
        </w:rPr>
        <w:tab/>
      </w:r>
    </w:p>
    <w:sectPr w:rsidR="001C302E" w:rsidSect="001C30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1C302E"/>
    <w:rsid w:val="001C302E"/>
    <w:rsid w:val="00757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61C"/>
    <w:rPr>
      <w:rFonts w:ascii="Tahoma" w:hAnsi="Tahoma" w:cs="Tahoma"/>
      <w:sz w:val="16"/>
      <w:szCs w:val="16"/>
    </w:rPr>
  </w:style>
  <w:style w:type="character" w:styleId="LineNumber">
    <w:name w:val="line number"/>
    <w:basedOn w:val="DefaultParagraphFont"/>
    <w:uiPriority w:val="99"/>
    <w:semiHidden/>
    <w:unhideWhenUsed/>
    <w:rsid w:val="007576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5774</Characters>
  <Application>Microsoft Office Word</Application>
  <DocSecurity>0</DocSecurity>
  <Lines>48</Lines>
  <Paragraphs>13</Paragraphs>
  <ScaleCrop>false</ScaleCrop>
  <Company>LEG</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2009-01-13T21:56:00Z</dcterms:created>
  <dcterms:modified xsi:type="dcterms:W3CDTF">2009-01-13T22:07:00Z</dcterms:modified>
</cp:coreProperties>
</file>