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CC1" w:rsidRDefault="00AB072B">
      <w:pPr>
        <w:suppressLineNumbers/>
        <w:spacing w:after="2"/>
        <w:jc w:val="center"/>
      </w:pPr>
      <w:r>
        <w:rPr>
          <w:rFonts w:ascii="Arial"/>
          <w:sz w:val="18"/>
        </w:rPr>
        <w:t>HOUSE DOCKET, NO.         FILED ON: 1/14/2009</w:t>
      </w:r>
    </w:p>
    <w:p w:rsidR="00F22CC1" w:rsidRDefault="00AB072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072B" w:rsidP="00DB534B">
            <w:pPr>
              <w:suppressLineNumbers/>
              <w:jc w:val="right"/>
              <w:rPr>
                <w:b/>
                <w:sz w:val="28"/>
              </w:rPr>
            </w:pPr>
          </w:p>
        </w:tc>
      </w:tr>
    </w:tbl>
    <w:p w:rsidR="00F22CC1" w:rsidRDefault="00AB072B">
      <w:pPr>
        <w:suppressLineNumbers/>
        <w:spacing w:before="2" w:after="2"/>
        <w:jc w:val="center"/>
      </w:pPr>
      <w:r>
        <w:rPr>
          <w:rFonts w:ascii="Old English Text MT"/>
          <w:sz w:val="32"/>
        </w:rPr>
        <w:t>The Commonwealth of Massachusetts</w:t>
      </w:r>
    </w:p>
    <w:p w:rsidR="00F22CC1" w:rsidRDefault="00AB072B">
      <w:pPr>
        <w:suppressLineNumbers/>
        <w:spacing w:after="2"/>
        <w:jc w:val="center"/>
      </w:pPr>
      <w:r>
        <w:rPr>
          <w:rFonts w:ascii="Times New Roman"/>
          <w:b/>
          <w:sz w:val="32"/>
          <w:vertAlign w:val="superscript"/>
        </w:rPr>
        <w:t>_______________</w:t>
      </w:r>
    </w:p>
    <w:p w:rsidR="00F22CC1" w:rsidRDefault="00AB072B">
      <w:pPr>
        <w:suppressLineNumbers/>
        <w:spacing w:before="2"/>
        <w:jc w:val="center"/>
      </w:pPr>
      <w:r>
        <w:rPr>
          <w:rFonts w:ascii="Times New Roman"/>
          <w:sz w:val="20"/>
        </w:rPr>
        <w:t>PRESENTED BY:</w:t>
      </w:r>
    </w:p>
    <w:p w:rsidR="00F22CC1" w:rsidRDefault="00AB072B">
      <w:pPr>
        <w:suppressLineNumbers/>
        <w:spacing w:after="2"/>
        <w:jc w:val="center"/>
      </w:pPr>
      <w:r>
        <w:rPr>
          <w:rFonts w:ascii="Times New Roman"/>
          <w:b/>
          <w:sz w:val="24"/>
        </w:rPr>
        <w:t>Cheryl A. Coakley-Rivera</w:t>
      </w:r>
    </w:p>
    <w:p w:rsidR="00F22CC1" w:rsidRDefault="00AB072B">
      <w:pPr>
        <w:suppressLineNumbers/>
        <w:jc w:val="center"/>
      </w:pPr>
      <w:r>
        <w:rPr>
          <w:rFonts w:ascii="Times New Roman"/>
          <w:b/>
          <w:sz w:val="32"/>
          <w:vertAlign w:val="superscript"/>
        </w:rPr>
        <w:t>_______________</w:t>
      </w:r>
    </w:p>
    <w:p w:rsidR="00F22CC1" w:rsidRDefault="00AB07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2CC1" w:rsidRDefault="00AB072B">
      <w:pPr>
        <w:suppressLineNumbers/>
      </w:pPr>
      <w:r>
        <w:rPr>
          <w:rFonts w:ascii="Times New Roman"/>
          <w:sz w:val="20"/>
        </w:rPr>
        <w:tab/>
        <w:t>The undersigned legislators and/or citizens respectfully petition for the passage of the accompanying bill:</w:t>
      </w:r>
    </w:p>
    <w:p w:rsidR="00F22CC1" w:rsidRDefault="00AB072B">
      <w:pPr>
        <w:suppressLineNumbers/>
        <w:spacing w:after="2"/>
        <w:jc w:val="center"/>
      </w:pPr>
      <w:proofErr w:type="gramStart"/>
      <w:r>
        <w:rPr>
          <w:rFonts w:ascii="Times New Roman"/>
          <w:sz w:val="24"/>
        </w:rPr>
        <w:t>An Act accelerating the seal</w:t>
      </w:r>
      <w:r>
        <w:rPr>
          <w:rFonts w:ascii="Times New Roman"/>
          <w:sz w:val="24"/>
        </w:rPr>
        <w:t>ing of non conviction criminal offender record information.</w:t>
      </w:r>
      <w:proofErr w:type="gramEnd"/>
    </w:p>
    <w:p w:rsidR="00F22CC1" w:rsidRDefault="00AB072B">
      <w:pPr>
        <w:suppressLineNumbers/>
        <w:spacing w:after="2"/>
        <w:jc w:val="center"/>
      </w:pPr>
      <w:r>
        <w:rPr>
          <w:rFonts w:ascii="Times New Roman"/>
          <w:b/>
          <w:sz w:val="32"/>
          <w:vertAlign w:val="superscript"/>
        </w:rPr>
        <w:t>_______________</w:t>
      </w:r>
    </w:p>
    <w:p w:rsidR="00F22CC1" w:rsidRDefault="00AB072B">
      <w:pPr>
        <w:suppressLineNumbers/>
        <w:jc w:val="center"/>
      </w:pPr>
      <w:r>
        <w:rPr>
          <w:rFonts w:ascii="Times New Roman"/>
          <w:sz w:val="20"/>
        </w:rPr>
        <w:t>PETITION OF:</w:t>
      </w:r>
    </w:p>
    <w:p w:rsidR="00F22CC1" w:rsidRDefault="00F22C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22CC1">
            <w:tblPrEx>
              <w:tblCellMar>
                <w:top w:w="0" w:type="dxa"/>
                <w:bottom w:w="0" w:type="dxa"/>
              </w:tblCellMar>
            </w:tblPrEx>
            <w:tc>
              <w:tcPr>
                <w:tcW w:w="4500" w:type="dxa"/>
                <w:tcBorders>
                  <w:top w:val="nil"/>
                  <w:bottom w:val="single" w:sz="4" w:space="0" w:color="auto"/>
                  <w:right w:val="single" w:sz="4" w:space="0" w:color="auto"/>
                </w:tcBorders>
              </w:tcPr>
              <w:p w:rsidR="00F22CC1" w:rsidRDefault="00AB072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22CC1" w:rsidRDefault="00AB072B">
                <w:pPr>
                  <w:suppressLineNumbers/>
                  <w:spacing w:after="2"/>
                  <w:rPr>
                    <w:smallCaps/>
                  </w:rPr>
                </w:pPr>
                <w:r>
                  <w:rPr>
                    <w:rFonts w:ascii="Times New Roman"/>
                    <w:smallCaps/>
                    <w:sz w:val="24"/>
                  </w:rPr>
                  <w:t>District/Address:</w:t>
                </w:r>
              </w:p>
            </w:tc>
          </w:tr>
          <w:tr w:rsidR="00F22CC1">
            <w:tblPrEx>
              <w:tblCellMar>
                <w:top w:w="0" w:type="dxa"/>
                <w:bottom w:w="0" w:type="dxa"/>
              </w:tblCellMar>
            </w:tblPrEx>
            <w:tc>
              <w:tcPr>
                <w:tcW w:w="4500" w:type="dxa"/>
              </w:tcPr>
              <w:p w:rsidR="00F22CC1" w:rsidRDefault="00AB072B">
                <w:pPr>
                  <w:suppressLineNumbers/>
                  <w:spacing w:after="2"/>
                  <w:rPr>
                    <w:rFonts w:ascii="Times New Roman"/>
                  </w:rPr>
                </w:pPr>
                <w:r>
                  <w:rPr>
                    <w:rFonts w:ascii="Times New Roman"/>
                  </w:rPr>
                  <w:t>Cheryl A. Coakley-Rivera</w:t>
                </w:r>
              </w:p>
            </w:tc>
            <w:tc>
              <w:tcPr>
                <w:tcW w:w="4500" w:type="dxa"/>
              </w:tcPr>
              <w:p w:rsidR="00F22CC1" w:rsidRDefault="00AB072B">
                <w:pPr>
                  <w:suppressLineNumbers/>
                  <w:spacing w:after="2"/>
                  <w:rPr>
                    <w:rFonts w:ascii="Times New Roman"/>
                  </w:rPr>
                </w:pPr>
                <w:r>
                  <w:rPr>
                    <w:rFonts w:ascii="Times New Roman"/>
                  </w:rPr>
                  <w:t>10th Hampden</w:t>
                </w:r>
              </w:p>
            </w:tc>
          </w:tr>
        </w:tbl>
      </w:sdtContent>
    </w:sdt>
    <w:p w:rsidR="00F22CC1" w:rsidRDefault="00AB072B">
      <w:pPr>
        <w:suppressLineNumbers/>
      </w:pPr>
      <w:r>
        <w:br w:type="page"/>
      </w:r>
    </w:p>
    <w:p w:rsidR="00F22CC1" w:rsidRDefault="00AB072B">
      <w:pPr>
        <w:suppressLineNumbers/>
        <w:jc w:val="center"/>
      </w:pPr>
      <w:r>
        <w:rPr>
          <w:rFonts w:ascii="Times New Roman"/>
          <w:sz w:val="24"/>
        </w:rPr>
        <w:lastRenderedPageBreak/>
        <w:t>[SIMILAR MATTER FILED IN PREVIOUS SESSION</w:t>
      </w:r>
      <w:r>
        <w:rPr>
          <w:rFonts w:ascii="Times New Roman"/>
          <w:sz w:val="24"/>
        </w:rPr>
        <w:br/>
        <w:t>SEE HOUSE, NO. 1359 OF 2007-2008.]</w:t>
      </w:r>
    </w:p>
    <w:p w:rsidR="00F22CC1" w:rsidRDefault="00AB072B">
      <w:pPr>
        <w:suppressLineNumbers/>
        <w:spacing w:before="2" w:after="2"/>
        <w:jc w:val="center"/>
      </w:pPr>
      <w:r>
        <w:rPr>
          <w:rFonts w:ascii="Old English Text MT"/>
          <w:sz w:val="32"/>
        </w:rPr>
        <w:t>The Commonwealth of Massachusetts</w:t>
      </w:r>
      <w:r>
        <w:rPr>
          <w:rFonts w:ascii="Old English Text MT"/>
          <w:sz w:val="32"/>
        </w:rPr>
        <w:br/>
      </w:r>
    </w:p>
    <w:p w:rsidR="00F22CC1" w:rsidRDefault="00AB072B">
      <w:pPr>
        <w:suppressLineNumbers/>
        <w:spacing w:after="2"/>
        <w:jc w:val="center"/>
      </w:pPr>
      <w:r>
        <w:rPr>
          <w:rFonts w:ascii="Times New Roman"/>
          <w:b/>
          <w:sz w:val="24"/>
          <w:vertAlign w:val="superscript"/>
        </w:rPr>
        <w:t>_______________</w:t>
      </w:r>
    </w:p>
    <w:p w:rsidR="00F22CC1" w:rsidRDefault="00AB072B">
      <w:pPr>
        <w:suppressLineNumbers/>
        <w:spacing w:after="2"/>
        <w:jc w:val="center"/>
      </w:pPr>
      <w:r>
        <w:rPr>
          <w:rFonts w:ascii="Times New Roman"/>
          <w:b/>
          <w:sz w:val="18"/>
        </w:rPr>
        <w:t>In the Year Two Thousand and Nine</w:t>
      </w:r>
    </w:p>
    <w:p w:rsidR="00F22CC1" w:rsidRDefault="00AB072B">
      <w:pPr>
        <w:suppressLineNumbers/>
        <w:spacing w:after="2"/>
        <w:jc w:val="center"/>
      </w:pPr>
      <w:r>
        <w:rPr>
          <w:rFonts w:ascii="Times New Roman"/>
          <w:b/>
          <w:sz w:val="24"/>
          <w:vertAlign w:val="superscript"/>
        </w:rPr>
        <w:t>_______________</w:t>
      </w:r>
    </w:p>
    <w:p w:rsidR="00F22CC1" w:rsidRDefault="00AB072B">
      <w:pPr>
        <w:suppressLineNumbers/>
        <w:spacing w:after="2"/>
      </w:pPr>
      <w:r>
        <w:rPr>
          <w:sz w:val="14"/>
        </w:rPr>
        <w:br/>
      </w:r>
      <w:r>
        <w:br/>
      </w:r>
    </w:p>
    <w:p w:rsidR="00F22CC1" w:rsidRDefault="00AB072B">
      <w:pPr>
        <w:suppressLineNumbers/>
      </w:pPr>
      <w:r>
        <w:rPr>
          <w:rFonts w:ascii="Times New Roman"/>
          <w:smallCaps/>
          <w:sz w:val="28"/>
        </w:rPr>
        <w:t>An Act accelerating the sealing of non conviction criminal offender record information.</w:t>
      </w:r>
      <w:r>
        <w:br/>
      </w:r>
      <w:r>
        <w:br/>
      </w:r>
      <w:r>
        <w:br/>
      </w:r>
    </w:p>
    <w:p w:rsidR="00F22CC1" w:rsidRDefault="00AB072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B072B" w:rsidRPr="00310FAA" w:rsidRDefault="00AB072B" w:rsidP="00AB072B">
      <w:pPr>
        <w:spacing w:after="0" w:line="240" w:lineRule="auto"/>
        <w:ind w:left="360" w:hanging="360"/>
        <w:jc w:val="both"/>
        <w:rPr>
          <w:rFonts w:ascii="Times New Roman" w:eastAsia="Times New Roman" w:hAnsi="Times New Roman"/>
        </w:rPr>
      </w:pPr>
      <w:r>
        <w:rPr>
          <w:rFonts w:ascii="Times New Roman"/>
        </w:rPr>
        <w:tab/>
      </w:r>
    </w:p>
    <w:p w:rsidR="00AB072B" w:rsidRPr="00310FAA" w:rsidRDefault="00AB072B" w:rsidP="00AB072B">
      <w:pPr>
        <w:spacing w:after="0" w:line="240" w:lineRule="auto"/>
        <w:jc w:val="both"/>
        <w:rPr>
          <w:rFonts w:ascii="Times New Roman" w:eastAsia="Times New Roman" w:hAnsi="Times New Roman"/>
        </w:rPr>
      </w:pPr>
      <w:bookmarkStart w:id="0" w:name="BillText"/>
      <w:bookmarkEnd w:id="0"/>
      <w:proofErr w:type="gramStart"/>
      <w:r w:rsidRPr="00310FAA">
        <w:rPr>
          <w:rFonts w:ascii="Times New Roman" w:eastAsia="Times New Roman" w:hAnsi="Times New Roman"/>
          <w:sz w:val="20"/>
          <w:szCs w:val="20"/>
        </w:rPr>
        <w:t>SECTION 1.</w:t>
      </w:r>
      <w:proofErr w:type="gramEnd"/>
      <w:r w:rsidRPr="00310FAA">
        <w:rPr>
          <w:rFonts w:ascii="Times New Roman" w:eastAsia="Times New Roman" w:hAnsi="Times New Roman"/>
          <w:sz w:val="20"/>
          <w:szCs w:val="20"/>
        </w:rPr>
        <w:t xml:space="preserve"> The General Court hereby finds and declares that:</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(1) The current system of maintaining and disseminating Criminal Offender Record Information (known as CORI) has become an all-but-impossible barrier for most ex-offenders and other individuals with CORI with respect to their securing employment, housing, education, training, credit and other necessities of mainstream society, so that they may become productive and tax-paying citizens or residents of the Commonwealth;</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(2) While the Commonwealth and the Federal Government spend millions of dollars to train and assist unemployed persons to enter the workforce, these efforts are unacceptably frustrated by the current CORI system, so that the Commonwealth is spending the taxpayers’ money to fund governmental efforts which are often in contradiction to each other; and</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xml:space="preserve">                (3) In addition to the state interest in safeguarding the reputations and privacy of the Commonwealth’s residents, there is, collectively, a compelling state interest  to seal stale or otherwise </w:t>
      </w:r>
      <w:proofErr w:type="spellStart"/>
      <w:r w:rsidRPr="00310FAA">
        <w:rPr>
          <w:rFonts w:ascii="Times New Roman" w:eastAsia="Times New Roman" w:hAnsi="Times New Roman"/>
          <w:sz w:val="20"/>
          <w:szCs w:val="20"/>
        </w:rPr>
        <w:t>unpredictive</w:t>
      </w:r>
      <w:proofErr w:type="spellEnd"/>
      <w:r w:rsidRPr="00310FAA">
        <w:rPr>
          <w:rFonts w:ascii="Times New Roman" w:eastAsia="Times New Roman" w:hAnsi="Times New Roman"/>
          <w:sz w:val="20"/>
          <w:szCs w:val="20"/>
        </w:rPr>
        <w:t xml:space="preserve"> criminal records, which state interest may, in particular cases, be ruled by a judge to overcome what the federal courts have found to be a First Amendment interest in favor of keeping these governmental  records available to the more than ten thousand organizations  which now have access to CORI.</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xml:space="preserve">                </w:t>
      </w:r>
    </w:p>
    <w:p w:rsidR="00AB072B" w:rsidRPr="00310FAA" w:rsidRDefault="00AB072B" w:rsidP="00AB072B">
      <w:pPr>
        <w:spacing w:after="0" w:line="240" w:lineRule="auto"/>
        <w:jc w:val="both"/>
        <w:rPr>
          <w:rFonts w:ascii="Times New Roman" w:eastAsia="Times New Roman" w:hAnsi="Times New Roman"/>
        </w:rPr>
      </w:pPr>
      <w:proofErr w:type="gramStart"/>
      <w:r w:rsidRPr="00310FAA">
        <w:rPr>
          <w:rFonts w:ascii="Times New Roman" w:eastAsia="Times New Roman" w:hAnsi="Times New Roman"/>
          <w:sz w:val="20"/>
          <w:szCs w:val="20"/>
        </w:rPr>
        <w:t>SECTION 2.</w:t>
      </w:r>
      <w:proofErr w:type="gramEnd"/>
      <w:r w:rsidRPr="00310FAA">
        <w:rPr>
          <w:rFonts w:ascii="Times New Roman" w:eastAsia="Times New Roman" w:hAnsi="Times New Roman"/>
          <w:sz w:val="20"/>
          <w:szCs w:val="20"/>
        </w:rPr>
        <w:t xml:space="preserve">   Within six months after this law takes effect, the clerk and the probation officers of each court with criminal jurisdiction shall seal their records of all non-conviction criminal cases whose final dispositions were six years or more before the date on which this law takes effect.  As such records are </w:t>
      </w:r>
      <w:proofErr w:type="gramStart"/>
      <w:r w:rsidRPr="00310FAA">
        <w:rPr>
          <w:rFonts w:ascii="Times New Roman" w:eastAsia="Times New Roman" w:hAnsi="Times New Roman"/>
          <w:sz w:val="20"/>
          <w:szCs w:val="20"/>
        </w:rPr>
        <w:t>sealed,</w:t>
      </w:r>
      <w:proofErr w:type="gramEnd"/>
      <w:r w:rsidRPr="00310FAA">
        <w:rPr>
          <w:rFonts w:ascii="Times New Roman" w:eastAsia="Times New Roman" w:hAnsi="Times New Roman"/>
          <w:sz w:val="20"/>
          <w:szCs w:val="20"/>
        </w:rPr>
        <w:t xml:space="preserve"> the probation officers of such courts shall notify the commissioner of probation, who shall seal the appropriate case records in the probation central file.</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xml:space="preserve">                A “non-conviction criminal case,” as the term is used in this and other sections of this Act, is one in which a no bill was returned by the grand jury; or the defendant was found not guilty by the court or jury; or a finding of no probable cause was made by the court; or a </w:t>
      </w:r>
      <w:proofErr w:type="spellStart"/>
      <w:r w:rsidRPr="00310FAA">
        <w:rPr>
          <w:rFonts w:ascii="Times New Roman" w:eastAsia="Times New Roman" w:hAnsi="Times New Roman"/>
          <w:sz w:val="20"/>
          <w:szCs w:val="20"/>
        </w:rPr>
        <w:t>nolle</w:t>
      </w:r>
      <w:proofErr w:type="spellEnd"/>
      <w:r w:rsidRPr="00310FAA">
        <w:rPr>
          <w:rFonts w:ascii="Times New Roman" w:eastAsia="Times New Roman" w:hAnsi="Times New Roman"/>
          <w:sz w:val="20"/>
          <w:szCs w:val="20"/>
        </w:rPr>
        <w:t xml:space="preserve"> </w:t>
      </w:r>
      <w:proofErr w:type="spellStart"/>
      <w:r w:rsidRPr="00310FAA">
        <w:rPr>
          <w:rFonts w:ascii="Times New Roman" w:eastAsia="Times New Roman" w:hAnsi="Times New Roman"/>
          <w:sz w:val="20"/>
          <w:szCs w:val="20"/>
        </w:rPr>
        <w:t>prosequi</w:t>
      </w:r>
      <w:proofErr w:type="spellEnd"/>
      <w:r w:rsidRPr="00310FAA">
        <w:rPr>
          <w:rFonts w:ascii="Times New Roman" w:eastAsia="Times New Roman" w:hAnsi="Times New Roman"/>
          <w:sz w:val="20"/>
          <w:szCs w:val="20"/>
        </w:rPr>
        <w:t xml:space="preserve"> was entered; or a dismissal was entered by the court, except  where (whether or not such dismissal was preceded by a continuance without a finding) such dismissal was preceded by a term of active probation as to which the court ordered the assignment of a probation officer to whom the defendant was required periodically to report. </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xml:space="preserve">                                </w:t>
      </w:r>
    </w:p>
    <w:p w:rsidR="00AB072B" w:rsidRPr="00310FAA" w:rsidRDefault="00AB072B" w:rsidP="00AB072B">
      <w:pPr>
        <w:spacing w:after="0" w:line="240" w:lineRule="auto"/>
        <w:jc w:val="both"/>
        <w:rPr>
          <w:rFonts w:ascii="Times New Roman" w:eastAsia="Times New Roman" w:hAnsi="Times New Roman"/>
        </w:rPr>
      </w:pPr>
      <w:proofErr w:type="gramStart"/>
      <w:r w:rsidRPr="00310FAA">
        <w:rPr>
          <w:rFonts w:ascii="Times New Roman" w:eastAsia="Times New Roman" w:hAnsi="Times New Roman"/>
          <w:sz w:val="20"/>
          <w:szCs w:val="20"/>
        </w:rPr>
        <w:lastRenderedPageBreak/>
        <w:t>SECTION 3.</w:t>
      </w:r>
      <w:proofErr w:type="gramEnd"/>
      <w:r w:rsidRPr="00310FAA">
        <w:rPr>
          <w:rFonts w:ascii="Times New Roman" w:eastAsia="Times New Roman" w:hAnsi="Times New Roman"/>
          <w:sz w:val="20"/>
          <w:szCs w:val="20"/>
        </w:rPr>
        <w:t>  Within the twelve months after this law takes effect the clerk of any court with criminal jurisdiction shall select and process for prospective sealing, as nearly as possible in chronological order by date of final disposition, appropriate batches of non-conviction criminal cases in which the final dispositions were less than six years before, but more than six months after, the date on which this law takes effect.</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On at least a monthly basis, but more frequently if feasible, the clerk shall prepare and post, in a prominent place in the court house to which the public has access, a list of non-conviction criminal cases which will be considered for sealing in one or more sessions of the court on or after a stated date which is at least a month after the list is posted.  The list shall be organized in alphabetical order by last name of the individuals whose record or records will be considered and shall contain each individual’s full name, the title of the crime or crimes charged and the date or dates of their final disposition.  The list shall also contain a fourth column where any written objection to the sealing, stating a reason or reasons and filed with the clerk’s office at least  two weeks before the scheduled hearing date, may be briefly noted.</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Each court is encouraged to issue a press release to local newspapers generally received by or available to persons residing within the jurisdiction of the court.  Such release should announce the forthcoming sealing session and describe in general terms the notice posted in the court house and the range of final disposition dates of the cases to be considered.  The release should also explain that anyone who objects to the sealing of a particular case may file, at least two weeks before the session, a written objection explaining the reason or reasons for the objection.</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xml:space="preserve">                At each court session, in making its decision in each case, the court shall consider (a) the  facts and arguments presented by the petitioner in favor of sealing, if any; (b) the facts and arguments presented by an objector, if any, who timely filed an objection with a reason or reasons for the objection relating to the interests of public safety or in favor of the general public interest in access to governmental records, as fostered by the First Amendment of the U.S. Constitution; and (c) the findings and declaration of the General Court as set forth in SECTION 1 of this Act. </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If the court concludes  that sealing the record would be in the interests of substantial justice and that there is a compelling state interest to seal the record which overcomes the general public safety or public access interests, the court shall order that the clerk and the probation officers in the courts in which the proceedings occurred or were initiated  seal the records of the proceedings in their files and send notice thereof to the commissioner of probation, who shall seal the case record in the probation central file.</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xml:space="preserve">                </w:t>
      </w:r>
    </w:p>
    <w:p w:rsidR="00AB072B" w:rsidRPr="00310FAA" w:rsidRDefault="00AB072B" w:rsidP="00AB072B">
      <w:pPr>
        <w:spacing w:after="0" w:line="240" w:lineRule="auto"/>
        <w:jc w:val="both"/>
        <w:rPr>
          <w:rFonts w:ascii="Times New Roman" w:eastAsia="Times New Roman" w:hAnsi="Times New Roman"/>
        </w:rPr>
      </w:pPr>
      <w:proofErr w:type="gramStart"/>
      <w:r w:rsidRPr="00310FAA">
        <w:rPr>
          <w:rFonts w:ascii="Times New Roman" w:eastAsia="Times New Roman" w:hAnsi="Times New Roman"/>
          <w:sz w:val="20"/>
          <w:szCs w:val="20"/>
        </w:rPr>
        <w:t>SECTION 4.</w:t>
      </w:r>
      <w:proofErr w:type="gramEnd"/>
      <w:r w:rsidRPr="00310FAA">
        <w:rPr>
          <w:rFonts w:ascii="Times New Roman" w:eastAsia="Times New Roman" w:hAnsi="Times New Roman"/>
          <w:sz w:val="20"/>
          <w:szCs w:val="20"/>
        </w:rPr>
        <w:t>           Chapter 276 of the General Laws is hereby amended by inserting after section 100C a new section as follows:</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Section 100D.  Notwithstanding, but in addition to, the provisions of section 100C, on the first business day of each month the clerk of each court having criminal jurisdiction shall have prepared and shall post, in a prominent place in the court house to which the public has access, a list of non-conviction criminal cases</w:t>
      </w:r>
      <w:proofErr w:type="gramStart"/>
      <w:r w:rsidRPr="00310FAA">
        <w:rPr>
          <w:rFonts w:ascii="Times New Roman" w:eastAsia="Times New Roman" w:hAnsi="Times New Roman"/>
          <w:sz w:val="20"/>
          <w:szCs w:val="20"/>
        </w:rPr>
        <w:t>  which</w:t>
      </w:r>
      <w:proofErr w:type="gramEnd"/>
      <w:r w:rsidRPr="00310FAA">
        <w:rPr>
          <w:rFonts w:ascii="Times New Roman" w:eastAsia="Times New Roman" w:hAnsi="Times New Roman"/>
          <w:sz w:val="20"/>
          <w:szCs w:val="20"/>
        </w:rPr>
        <w:t xml:space="preserve"> will be considered for sealing in one or more sessions of the court on the first business day of the following month.</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xml:space="preserve">                A “non-conviction criminal case,” as used in this section, is one in which a no bill was returned by the grand jury, or the defendant was found not guilty by the court or jury, or a finding of no probable cause was made by the court, or a </w:t>
      </w:r>
      <w:proofErr w:type="spellStart"/>
      <w:r w:rsidRPr="00310FAA">
        <w:rPr>
          <w:rFonts w:ascii="Times New Roman" w:eastAsia="Times New Roman" w:hAnsi="Times New Roman"/>
          <w:sz w:val="20"/>
          <w:szCs w:val="20"/>
        </w:rPr>
        <w:t>nolle</w:t>
      </w:r>
      <w:proofErr w:type="spellEnd"/>
      <w:r w:rsidRPr="00310FAA">
        <w:rPr>
          <w:rFonts w:ascii="Times New Roman" w:eastAsia="Times New Roman" w:hAnsi="Times New Roman"/>
          <w:sz w:val="20"/>
          <w:szCs w:val="20"/>
        </w:rPr>
        <w:t xml:space="preserve"> </w:t>
      </w:r>
      <w:proofErr w:type="spellStart"/>
      <w:r w:rsidRPr="00310FAA">
        <w:rPr>
          <w:rFonts w:ascii="Times New Roman" w:eastAsia="Times New Roman" w:hAnsi="Times New Roman"/>
          <w:sz w:val="20"/>
          <w:szCs w:val="20"/>
        </w:rPr>
        <w:t>prosequi</w:t>
      </w:r>
      <w:proofErr w:type="spellEnd"/>
      <w:r w:rsidRPr="00310FAA">
        <w:rPr>
          <w:rFonts w:ascii="Times New Roman" w:eastAsia="Times New Roman" w:hAnsi="Times New Roman"/>
          <w:sz w:val="20"/>
          <w:szCs w:val="20"/>
        </w:rPr>
        <w:t xml:space="preserve"> was entered, or a dismissal was  entered by the court except  where (whether or not such dismissal was preceded by a continuance without a finding) such dismissal was preceded by a term of active probation as to which the court ordered the assignment of a probation officer to whom the defendant was required periodically to report. </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The posted list shall be organized in alphabetical order by last name of the individuals whose records will be considered and contain each individual’s full name, the title of the crime or crimes charged and the date or dates of their</w:t>
      </w:r>
      <w:proofErr w:type="gramStart"/>
      <w:r w:rsidRPr="00310FAA">
        <w:rPr>
          <w:rFonts w:ascii="Times New Roman" w:eastAsia="Times New Roman" w:hAnsi="Times New Roman"/>
          <w:sz w:val="20"/>
          <w:szCs w:val="20"/>
        </w:rPr>
        <w:t>  final</w:t>
      </w:r>
      <w:proofErr w:type="gramEnd"/>
      <w:r w:rsidRPr="00310FAA">
        <w:rPr>
          <w:rFonts w:ascii="Times New Roman" w:eastAsia="Times New Roman" w:hAnsi="Times New Roman"/>
          <w:sz w:val="20"/>
          <w:szCs w:val="20"/>
        </w:rPr>
        <w:t xml:space="preserve"> dispositions.  The list shall also contain a fourth column where any written objection to the sealing, stating a reason and filed with the clerk’s office at least  two weeks before the scheduled hearing date, may be briefly noted.</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Each court is encouraged to issue a press release to local newspapers generally received by or available to persons residing within the jurisdiction of the court.  Such release should announce the forthcoming sealing session and describe in general terms the notice posted in the court house and the range of final disposition dates of the cases to be considered.  The release should also explain that anyone who objects to the sealing of a particular case may file, at least two weeks before the session, a written objection explaining the reason or reasons for the objection.</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xml:space="preserve">                At each court session, in making its decision in each case, the court shall consider (a) the  facts and arguments presented by the petitioner in favor of sealing, if any; (b) the facts and arguments presented by an objector, if any, who timely filed an objection with a reason or reasons for the objection relating to the interests of public safety or in favor of the general public interest in access to governmental records, as fostered by the First </w:t>
      </w:r>
      <w:r w:rsidRPr="00310FAA">
        <w:rPr>
          <w:rFonts w:ascii="Times New Roman" w:eastAsia="Times New Roman" w:hAnsi="Times New Roman"/>
          <w:sz w:val="20"/>
          <w:szCs w:val="20"/>
        </w:rPr>
        <w:lastRenderedPageBreak/>
        <w:t xml:space="preserve">Amendment of the U.S. Constitution; and (c) the findings and declaration of the General Court as set forth in SECTION 1 of this Act.  </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If the court concludes that sealing the record would be in the interests of substantial justice and that there is a compelling state interest to seal the record which overcomes the general public safety or public access interest, the court shall order  that the clerk and the probation officers in the courts in which the proceedings occurred or were initiated  seal the records of the proceedings in their files and send notice thereof to the commissioner of probation, who shall seal the case record in the probation central file.</w:t>
      </w:r>
    </w:p>
    <w:p w:rsidR="00AB072B" w:rsidRPr="00310FAA" w:rsidRDefault="00AB072B" w:rsidP="00AB072B">
      <w:pPr>
        <w:spacing w:after="0" w:line="240" w:lineRule="auto"/>
        <w:jc w:val="both"/>
        <w:rPr>
          <w:rFonts w:ascii="Times New Roman" w:eastAsia="Times New Roman" w:hAnsi="Times New Roman"/>
        </w:rPr>
      </w:pPr>
      <w:r w:rsidRPr="00310FAA">
        <w:rPr>
          <w:rFonts w:ascii="Times New Roman" w:eastAsia="Times New Roman" w:hAnsi="Times New Roman"/>
          <w:sz w:val="20"/>
          <w:szCs w:val="20"/>
        </w:rPr>
        <w:t> </w:t>
      </w:r>
    </w:p>
    <w:p w:rsidR="00AB072B" w:rsidRPr="00310FAA" w:rsidRDefault="00AB072B" w:rsidP="00AB072B">
      <w:pPr>
        <w:spacing w:after="0" w:line="240" w:lineRule="auto"/>
        <w:jc w:val="both"/>
        <w:rPr>
          <w:rFonts w:ascii="Times New Roman" w:eastAsia="Times New Roman" w:hAnsi="Times New Roman"/>
        </w:rPr>
      </w:pPr>
      <w:proofErr w:type="gramStart"/>
      <w:r w:rsidRPr="00310FAA">
        <w:rPr>
          <w:rFonts w:ascii="Times New Roman" w:eastAsia="Times New Roman" w:hAnsi="Times New Roman"/>
          <w:sz w:val="20"/>
          <w:szCs w:val="20"/>
        </w:rPr>
        <w:t>SECTION 5.</w:t>
      </w:r>
      <w:proofErr w:type="gramEnd"/>
      <w:r w:rsidRPr="00310FAA">
        <w:rPr>
          <w:rFonts w:ascii="Times New Roman" w:eastAsia="Times New Roman" w:hAnsi="Times New Roman"/>
          <w:sz w:val="20"/>
          <w:szCs w:val="20"/>
        </w:rPr>
        <w:t>  SECTIONS 1, 2, and 3 of this Act shall take effect on the first business day of the month which is six months after the Act is approved.  SECTION 4 shall take effect on the first business day of the month which is eighteen months after the Act is approved.</w:t>
      </w:r>
    </w:p>
    <w:p w:rsidR="00F22CC1" w:rsidRDefault="00F22CC1">
      <w:pPr>
        <w:spacing w:line="336" w:lineRule="auto"/>
      </w:pPr>
    </w:p>
    <w:sectPr w:rsidR="00F22CC1" w:rsidSect="00F22C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2CC1"/>
    <w:rsid w:val="00AB072B"/>
    <w:rsid w:val="00F22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72B"/>
    <w:rPr>
      <w:rFonts w:ascii="Tahoma" w:hAnsi="Tahoma" w:cs="Tahoma"/>
      <w:sz w:val="16"/>
      <w:szCs w:val="16"/>
    </w:rPr>
  </w:style>
  <w:style w:type="character" w:styleId="LineNumber">
    <w:name w:val="line number"/>
    <w:basedOn w:val="DefaultParagraphFont"/>
    <w:uiPriority w:val="99"/>
    <w:semiHidden/>
    <w:unhideWhenUsed/>
    <w:rsid w:val="00AB072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1545</Words>
  <Characters>8813</Characters>
  <Application>Microsoft Office Word</Application>
  <DocSecurity>0</DocSecurity>
  <Lines>73</Lines>
  <Paragraphs>20</Paragraphs>
  <ScaleCrop>false</ScaleCrop>
  <Company>LEG</Company>
  <LinksUpToDate>false</LinksUpToDate>
  <CharactersWithSpaces>10338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2</cp:revision>
  <dcterms:created xsi:type="dcterms:W3CDTF">2009-01-14T13:56:00Z</dcterms:created>
  <dcterms:modified xsi:type="dcterms:W3CDTF">2009-01-14T13:58:00Z</dcterms:modified>
</cp:coreProperties>
</file>