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641" w:rsidRDefault="00134CB9">
      <w:pPr>
        <w:suppressLineNumbers/>
        <w:spacing w:after="2"/>
        <w:jc w:val="center"/>
      </w:pPr>
      <w:r>
        <w:rPr>
          <w:rFonts w:ascii="Arial"/>
          <w:sz w:val="18"/>
        </w:rPr>
        <w:t>HOUSE DOCKET, NO.         FILED ON: 1/12/2009</w:t>
      </w:r>
    </w:p>
    <w:p w:rsidR="00936641" w:rsidRDefault="00134CB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4CB9" w:rsidP="00DB534B">
            <w:pPr>
              <w:suppressLineNumbers/>
              <w:jc w:val="right"/>
              <w:rPr>
                <w:b/>
                <w:sz w:val="28"/>
              </w:rPr>
            </w:pPr>
          </w:p>
        </w:tc>
      </w:tr>
    </w:tbl>
    <w:p w:rsidR="00936641" w:rsidRDefault="00134CB9">
      <w:pPr>
        <w:suppressLineNumbers/>
        <w:spacing w:before="2" w:after="2"/>
        <w:jc w:val="center"/>
      </w:pPr>
      <w:r>
        <w:rPr>
          <w:rFonts w:ascii="Old English Text MT"/>
          <w:sz w:val="32"/>
        </w:rPr>
        <w:t>The Commonwealth of Massachusetts</w:t>
      </w:r>
    </w:p>
    <w:p w:rsidR="00936641" w:rsidRDefault="00134CB9">
      <w:pPr>
        <w:suppressLineNumbers/>
        <w:spacing w:after="2"/>
        <w:jc w:val="center"/>
      </w:pPr>
      <w:r>
        <w:rPr>
          <w:rFonts w:ascii="Times New Roman"/>
          <w:b/>
          <w:sz w:val="32"/>
          <w:vertAlign w:val="superscript"/>
        </w:rPr>
        <w:t>_______________</w:t>
      </w:r>
    </w:p>
    <w:p w:rsidR="00936641" w:rsidRDefault="00134CB9">
      <w:pPr>
        <w:suppressLineNumbers/>
        <w:spacing w:before="2"/>
        <w:jc w:val="center"/>
      </w:pPr>
      <w:r>
        <w:rPr>
          <w:rFonts w:ascii="Times New Roman"/>
          <w:sz w:val="20"/>
        </w:rPr>
        <w:t>PRESENTED BY:</w:t>
      </w:r>
    </w:p>
    <w:p w:rsidR="00936641" w:rsidRDefault="00134CB9">
      <w:pPr>
        <w:suppressLineNumbers/>
        <w:spacing w:after="2"/>
        <w:jc w:val="center"/>
      </w:pPr>
      <w:r>
        <w:rPr>
          <w:rFonts w:ascii="Times New Roman"/>
          <w:b/>
          <w:sz w:val="24"/>
        </w:rPr>
        <w:t>James Cantwell</w:t>
      </w:r>
    </w:p>
    <w:p w:rsidR="00936641" w:rsidRDefault="00134CB9">
      <w:pPr>
        <w:suppressLineNumbers/>
        <w:jc w:val="center"/>
      </w:pPr>
      <w:r>
        <w:rPr>
          <w:rFonts w:ascii="Times New Roman"/>
          <w:b/>
          <w:sz w:val="32"/>
          <w:vertAlign w:val="superscript"/>
        </w:rPr>
        <w:t>_______________</w:t>
      </w:r>
    </w:p>
    <w:p w:rsidR="00936641" w:rsidRDefault="00134C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6641" w:rsidRDefault="00134CB9">
      <w:pPr>
        <w:suppressLineNumbers/>
      </w:pPr>
      <w:r>
        <w:rPr>
          <w:rFonts w:ascii="Times New Roman"/>
          <w:sz w:val="20"/>
        </w:rPr>
        <w:tab/>
        <w:t>The undersigned legislators and/or citizens respectfully petition for the passage of the accompanying bill:</w:t>
      </w:r>
    </w:p>
    <w:p w:rsidR="00936641" w:rsidRDefault="00134CB9">
      <w:pPr>
        <w:suppressLineNumbers/>
        <w:spacing w:after="2"/>
        <w:jc w:val="center"/>
      </w:pPr>
      <w:proofErr w:type="gramStart"/>
      <w:r>
        <w:rPr>
          <w:rFonts w:ascii="Times New Roman"/>
          <w:sz w:val="24"/>
        </w:rPr>
        <w:t>An Act relative to the taxat</w:t>
      </w:r>
      <w:r>
        <w:rPr>
          <w:rFonts w:ascii="Times New Roman"/>
          <w:sz w:val="24"/>
        </w:rPr>
        <w:t>ion of residences.</w:t>
      </w:r>
      <w:proofErr w:type="gramEnd"/>
    </w:p>
    <w:p w:rsidR="00936641" w:rsidRDefault="00134CB9">
      <w:pPr>
        <w:suppressLineNumbers/>
        <w:spacing w:after="2"/>
        <w:jc w:val="center"/>
      </w:pPr>
      <w:r>
        <w:rPr>
          <w:rFonts w:ascii="Times New Roman"/>
          <w:b/>
          <w:sz w:val="32"/>
          <w:vertAlign w:val="superscript"/>
        </w:rPr>
        <w:t>_______________</w:t>
      </w:r>
    </w:p>
    <w:p w:rsidR="00936641" w:rsidRDefault="00134CB9">
      <w:pPr>
        <w:suppressLineNumbers/>
        <w:jc w:val="center"/>
      </w:pPr>
      <w:r>
        <w:rPr>
          <w:rFonts w:ascii="Times New Roman"/>
          <w:sz w:val="20"/>
        </w:rPr>
        <w:t>PETITION OF:</w:t>
      </w:r>
    </w:p>
    <w:p w:rsidR="00936641" w:rsidRDefault="009366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6641">
            <w:tblPrEx>
              <w:tblCellMar>
                <w:top w:w="0" w:type="dxa"/>
                <w:bottom w:w="0" w:type="dxa"/>
              </w:tblCellMar>
            </w:tblPrEx>
            <w:tc>
              <w:tcPr>
                <w:tcW w:w="4500" w:type="dxa"/>
                <w:tcBorders>
                  <w:top w:val="nil"/>
                  <w:bottom w:val="single" w:sz="4" w:space="0" w:color="auto"/>
                  <w:right w:val="single" w:sz="4" w:space="0" w:color="auto"/>
                </w:tcBorders>
              </w:tcPr>
              <w:p w:rsidR="00936641" w:rsidRDefault="00134C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6641" w:rsidRDefault="00134CB9">
                <w:pPr>
                  <w:suppressLineNumbers/>
                  <w:spacing w:after="2"/>
                  <w:rPr>
                    <w:smallCaps/>
                  </w:rPr>
                </w:pPr>
                <w:r>
                  <w:rPr>
                    <w:rFonts w:ascii="Times New Roman"/>
                    <w:smallCaps/>
                    <w:sz w:val="24"/>
                  </w:rPr>
                  <w:t>District/Address:</w:t>
                </w:r>
              </w:p>
            </w:tc>
          </w:tr>
          <w:tr w:rsidR="00936641">
            <w:tblPrEx>
              <w:tblCellMar>
                <w:top w:w="0" w:type="dxa"/>
                <w:bottom w:w="0" w:type="dxa"/>
              </w:tblCellMar>
            </w:tblPrEx>
            <w:tc>
              <w:tcPr>
                <w:tcW w:w="4500" w:type="dxa"/>
              </w:tcPr>
              <w:p w:rsidR="00936641" w:rsidRDefault="00134CB9">
                <w:pPr>
                  <w:suppressLineNumbers/>
                  <w:spacing w:after="2"/>
                  <w:rPr>
                    <w:rFonts w:ascii="Times New Roman"/>
                  </w:rPr>
                </w:pPr>
                <w:r>
                  <w:rPr>
                    <w:rFonts w:ascii="Times New Roman"/>
                  </w:rPr>
                  <w:t>James Cantwell</w:t>
                </w:r>
              </w:p>
            </w:tc>
            <w:tc>
              <w:tcPr>
                <w:tcW w:w="4500" w:type="dxa"/>
              </w:tcPr>
              <w:p w:rsidR="00936641" w:rsidRDefault="00134CB9">
                <w:pPr>
                  <w:suppressLineNumbers/>
                  <w:spacing w:after="2"/>
                  <w:rPr>
                    <w:rFonts w:ascii="Times New Roman"/>
                  </w:rPr>
                </w:pPr>
                <w:r>
                  <w:rPr>
                    <w:rFonts w:ascii="Times New Roman"/>
                  </w:rPr>
                  <w:t>4th Plymouth</w:t>
                </w:r>
              </w:p>
            </w:tc>
          </w:tr>
        </w:tbl>
      </w:sdtContent>
    </w:sdt>
    <w:p w:rsidR="00936641" w:rsidRDefault="00134CB9">
      <w:pPr>
        <w:suppressLineNumbers/>
      </w:pPr>
      <w:r>
        <w:br w:type="page"/>
      </w:r>
    </w:p>
    <w:p w:rsidR="00936641" w:rsidRDefault="00134CB9">
      <w:pPr>
        <w:suppressLineNumbers/>
        <w:jc w:val="center"/>
      </w:pPr>
      <w:r>
        <w:rPr>
          <w:rFonts w:ascii="Times New Roman"/>
          <w:sz w:val="24"/>
        </w:rPr>
        <w:lastRenderedPageBreak/>
        <w:t>[SIMILAR MATTER FILED IN PREVIOUS SESSION</w:t>
      </w:r>
      <w:r>
        <w:rPr>
          <w:rFonts w:ascii="Times New Roman"/>
          <w:sz w:val="24"/>
        </w:rPr>
        <w:br/>
        <w:t>SEE HOUSE, NO. 2954 OF 2007-2008.]</w:t>
      </w:r>
    </w:p>
    <w:p w:rsidR="00936641" w:rsidRDefault="00134CB9">
      <w:pPr>
        <w:suppressLineNumbers/>
        <w:spacing w:before="2" w:after="2"/>
        <w:jc w:val="center"/>
      </w:pPr>
      <w:r>
        <w:rPr>
          <w:rFonts w:ascii="Old English Text MT"/>
          <w:sz w:val="32"/>
        </w:rPr>
        <w:t>The Commonwealth of Massachusetts</w:t>
      </w:r>
      <w:r>
        <w:rPr>
          <w:rFonts w:ascii="Old English Text MT"/>
          <w:sz w:val="32"/>
        </w:rPr>
        <w:br/>
      </w:r>
    </w:p>
    <w:p w:rsidR="00936641" w:rsidRDefault="00134CB9">
      <w:pPr>
        <w:suppressLineNumbers/>
        <w:spacing w:after="2"/>
        <w:jc w:val="center"/>
      </w:pPr>
      <w:r>
        <w:rPr>
          <w:rFonts w:ascii="Times New Roman"/>
          <w:b/>
          <w:sz w:val="24"/>
          <w:vertAlign w:val="superscript"/>
        </w:rPr>
        <w:t>_______________</w:t>
      </w:r>
    </w:p>
    <w:p w:rsidR="00936641" w:rsidRDefault="00134CB9">
      <w:pPr>
        <w:suppressLineNumbers/>
        <w:spacing w:after="2"/>
        <w:jc w:val="center"/>
      </w:pPr>
      <w:r>
        <w:rPr>
          <w:rFonts w:ascii="Times New Roman"/>
          <w:b/>
          <w:sz w:val="18"/>
        </w:rPr>
        <w:t>In the Year Two Thousand and Nine</w:t>
      </w:r>
    </w:p>
    <w:p w:rsidR="00936641" w:rsidRDefault="00134CB9">
      <w:pPr>
        <w:suppressLineNumbers/>
        <w:spacing w:after="2"/>
        <w:jc w:val="center"/>
      </w:pPr>
      <w:r>
        <w:rPr>
          <w:rFonts w:ascii="Times New Roman"/>
          <w:b/>
          <w:sz w:val="24"/>
          <w:vertAlign w:val="superscript"/>
        </w:rPr>
        <w:t>_______________</w:t>
      </w:r>
    </w:p>
    <w:p w:rsidR="00936641" w:rsidRDefault="00134CB9">
      <w:pPr>
        <w:suppressLineNumbers/>
        <w:spacing w:after="2"/>
      </w:pPr>
      <w:r>
        <w:rPr>
          <w:sz w:val="14"/>
        </w:rPr>
        <w:br/>
      </w:r>
      <w:r>
        <w:br/>
      </w:r>
    </w:p>
    <w:p w:rsidR="00936641" w:rsidRDefault="00134CB9">
      <w:pPr>
        <w:suppressLineNumbers/>
      </w:pPr>
      <w:proofErr w:type="gramStart"/>
      <w:r>
        <w:rPr>
          <w:rFonts w:ascii="Times New Roman"/>
          <w:smallCaps/>
          <w:sz w:val="28"/>
        </w:rPr>
        <w:t>An Act relative to the taxation of residences.</w:t>
      </w:r>
      <w:proofErr w:type="gramEnd"/>
      <w:r>
        <w:br/>
      </w:r>
      <w:r>
        <w:br/>
      </w:r>
      <w:r>
        <w:br/>
      </w:r>
    </w:p>
    <w:p w:rsidR="00936641" w:rsidRDefault="00134C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4CB9" w:rsidRDefault="00134CB9" w:rsidP="00134CB9">
      <w:pPr>
        <w:pStyle w:val="Default"/>
        <w:spacing w:line="260" w:lineRule="atLeast"/>
        <w:ind w:left="70"/>
        <w:jc w:val="both"/>
        <w:rPr>
          <w:sz w:val="22"/>
          <w:szCs w:val="22"/>
        </w:rPr>
      </w:pPr>
      <w:r>
        <w:rPr>
          <w:sz w:val="22"/>
        </w:rPr>
        <w:tab/>
      </w:r>
      <w:proofErr w:type="gramStart"/>
      <w:r>
        <w:rPr>
          <w:sz w:val="22"/>
          <w:szCs w:val="22"/>
        </w:rPr>
        <w:t>SECTION 1.</w:t>
      </w:r>
      <w:proofErr w:type="gramEnd"/>
      <w:r>
        <w:rPr>
          <w:sz w:val="22"/>
          <w:szCs w:val="22"/>
        </w:rPr>
        <w:t xml:space="preserve"> Paragraph (2) of subsection (k) of section 6 of chapter 62 of the General Laws, as appearing in the 2004 Official Edition, is hereby amended by striking out the words “who is 65 years of age or older” in line 2; and further amended by striking out the words “but the credit shall not exceed $750”.</w:t>
      </w:r>
    </w:p>
    <w:p w:rsidR="00134CB9" w:rsidRDefault="00134CB9" w:rsidP="00134CB9">
      <w:pPr>
        <w:pStyle w:val="Default"/>
        <w:spacing w:line="260" w:lineRule="atLeast"/>
        <w:ind w:left="70"/>
        <w:jc w:val="both"/>
        <w:rPr>
          <w:sz w:val="22"/>
          <w:szCs w:val="22"/>
        </w:rPr>
      </w:pPr>
      <w:r>
        <w:rPr>
          <w:b/>
          <w:bCs/>
          <w:sz w:val="22"/>
          <w:szCs w:val="22"/>
        </w:rPr>
        <w:t xml:space="preserve"> </w:t>
      </w:r>
    </w:p>
    <w:p w:rsidR="00134CB9" w:rsidRDefault="00134CB9" w:rsidP="00134CB9">
      <w:pPr>
        <w:pStyle w:val="CM3"/>
        <w:spacing w:line="260" w:lineRule="atLeast"/>
        <w:ind w:left="90"/>
        <w:rPr>
          <w:color w:val="000000"/>
          <w:sz w:val="22"/>
          <w:szCs w:val="22"/>
        </w:rPr>
      </w:pPr>
      <w:proofErr w:type="gramStart"/>
      <w:r>
        <w:rPr>
          <w:color w:val="000000"/>
          <w:sz w:val="22"/>
          <w:szCs w:val="22"/>
        </w:rPr>
        <w:t>SECTION 2.</w:t>
      </w:r>
      <w:proofErr w:type="gramEnd"/>
      <w:r>
        <w:rPr>
          <w:color w:val="000000"/>
          <w:sz w:val="22"/>
          <w:szCs w:val="22"/>
        </w:rPr>
        <w:t xml:space="preserve"> Paragraph (3) of said subsection (k) of said section 6 of said chapter 62, as so appearing, is hereby amended by striking out subparagraph (</w:t>
      </w:r>
      <w:proofErr w:type="spellStart"/>
      <w:r>
        <w:rPr>
          <w:color w:val="000000"/>
          <w:sz w:val="22"/>
          <w:szCs w:val="22"/>
        </w:rPr>
        <w:t>i</w:t>
      </w:r>
      <w:proofErr w:type="spellEnd"/>
      <w:r>
        <w:rPr>
          <w:color w:val="000000"/>
          <w:sz w:val="22"/>
          <w:szCs w:val="22"/>
        </w:rPr>
        <w:t>) and inserting in place thereof the following subparagraph</w:t>
      </w:r>
      <w:proofErr w:type="gramStart"/>
      <w:r>
        <w:rPr>
          <w:color w:val="000000"/>
          <w:sz w:val="22"/>
          <w:szCs w:val="22"/>
        </w:rPr>
        <w:t>:—</w:t>
      </w:r>
      <w:proofErr w:type="gramEnd"/>
      <w:r>
        <w:rPr>
          <w:color w:val="000000"/>
          <w:sz w:val="22"/>
          <w:szCs w:val="22"/>
        </w:rPr>
        <w:t xml:space="preserve">  (</w:t>
      </w:r>
      <w:proofErr w:type="spellStart"/>
      <w:r>
        <w:rPr>
          <w:color w:val="000000"/>
          <w:sz w:val="22"/>
          <w:szCs w:val="22"/>
        </w:rPr>
        <w:t>i</w:t>
      </w:r>
      <w:proofErr w:type="spellEnd"/>
      <w:r>
        <w:rPr>
          <w:color w:val="000000"/>
          <w:sz w:val="22"/>
          <w:szCs w:val="22"/>
        </w:rPr>
        <w:t xml:space="preserve">) the taxpayer’s total adjusted gross income does not exceed $65,000 for a single individual who is not head of household, $75,000 for a head of household and $90,000 for a husband and wife filing a joint return; and </w:t>
      </w:r>
    </w:p>
    <w:p w:rsidR="00134CB9" w:rsidRDefault="00134CB9" w:rsidP="00134CB9">
      <w:pPr>
        <w:spacing w:line="336" w:lineRule="auto"/>
      </w:pPr>
      <w:proofErr w:type="gramStart"/>
      <w:r>
        <w:t>SECTION 3.</w:t>
      </w:r>
      <w:proofErr w:type="gramEnd"/>
      <w:r>
        <w:t xml:space="preserve"> Paragraph (4) of said subsection (k) of said section 6 of said chapter 62, as amended by section 3 of chapter 136 of the acts of 2005 is hereby further amended by striking out the first sentence and inserting in place thereof the following 2 sentences:— For a taxable year beginning on or after January 1, 2008, the income limits in this subsection shall be increased by amounts equal to such income limits multiplied by the cost-of-living adjustment for the calendar year in which such taxable year begins. The valuation limit in this subsection shall be increased by an amount equal to the increase in the average sale price of single-family homes in the taxpayer’s city or town from the year pervious to the calendar year in which such taxable year begins. </w:t>
      </w:r>
    </w:p>
    <w:sectPr w:rsidR="00134CB9" w:rsidSect="009366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6641"/>
    <w:rsid w:val="00134CB9"/>
    <w:rsid w:val="00936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CB9"/>
    <w:rPr>
      <w:rFonts w:ascii="Tahoma" w:hAnsi="Tahoma" w:cs="Tahoma"/>
      <w:sz w:val="16"/>
      <w:szCs w:val="16"/>
    </w:rPr>
  </w:style>
  <w:style w:type="character" w:styleId="LineNumber">
    <w:name w:val="line number"/>
    <w:basedOn w:val="DefaultParagraphFont"/>
    <w:uiPriority w:val="99"/>
    <w:semiHidden/>
    <w:unhideWhenUsed/>
    <w:rsid w:val="00134CB9"/>
  </w:style>
  <w:style w:type="paragraph" w:customStyle="1" w:styleId="Default">
    <w:name w:val="Default"/>
    <w:rsid w:val="00134CB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134CB9"/>
    <w:pPr>
      <w:spacing w:after="360"/>
    </w:pPr>
    <w:rPr>
      <w:color w:val="auto"/>
    </w:rPr>
  </w:style>
  <w:style w:type="paragraph" w:customStyle="1" w:styleId="CM3">
    <w:name w:val="CM3"/>
    <w:basedOn w:val="Default"/>
    <w:next w:val="Default"/>
    <w:uiPriority w:val="99"/>
    <w:rsid w:val="00134CB9"/>
    <w:pPr>
      <w:spacing w:after="253"/>
    </w:pPr>
    <w:rPr>
      <w:color w:val="auto"/>
    </w:rPr>
  </w:style>
  <w:style w:type="paragraph" w:customStyle="1" w:styleId="CM1">
    <w:name w:val="CM1"/>
    <w:basedOn w:val="Default"/>
    <w:next w:val="Default"/>
    <w:uiPriority w:val="99"/>
    <w:rsid w:val="00134CB9"/>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2079</Characters>
  <Application>Microsoft Office Word</Application>
  <DocSecurity>0</DocSecurity>
  <Lines>17</Lines>
  <Paragraphs>4</Paragraphs>
  <ScaleCrop>false</ScaleCrop>
  <Company>LEG</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2009-01-12T18:27:00Z</dcterms:created>
  <dcterms:modified xsi:type="dcterms:W3CDTF">2009-01-12T18:30:00Z</dcterms:modified>
</cp:coreProperties>
</file>