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74" w:rsidRDefault="001A25CE">
      <w:pPr>
        <w:suppressLineNumbers/>
        <w:spacing w:after="2"/>
        <w:jc w:val="center"/>
      </w:pPr>
      <w:r>
        <w:rPr>
          <w:rFonts w:ascii="Arial"/>
          <w:sz w:val="18"/>
        </w:rPr>
        <w:t>HOUSE DOCKET, NO.         FILED ON: 1/16/2009</w:t>
      </w:r>
    </w:p>
    <w:p w:rsidR="006F7274" w:rsidRDefault="001A25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A25CE" w:rsidP="00DB534B">
            <w:pPr>
              <w:suppressLineNumbers/>
              <w:jc w:val="right"/>
              <w:rPr>
                <w:b/>
                <w:sz w:val="28"/>
              </w:rPr>
            </w:pPr>
          </w:p>
        </w:tc>
      </w:tr>
    </w:tbl>
    <w:p w:rsidR="006F7274" w:rsidRDefault="001A25CE">
      <w:pPr>
        <w:suppressLineNumbers/>
        <w:spacing w:before="2" w:after="2"/>
        <w:jc w:val="center"/>
      </w:pPr>
      <w:r>
        <w:rPr>
          <w:rFonts w:ascii="Old English Text MT"/>
          <w:sz w:val="32"/>
        </w:rPr>
        <w:t>The Commonwealth of Massachusetts</w:t>
      </w:r>
    </w:p>
    <w:p w:rsidR="006F7274" w:rsidRDefault="001A25CE">
      <w:pPr>
        <w:suppressLineNumbers/>
        <w:spacing w:after="2"/>
        <w:jc w:val="center"/>
      </w:pPr>
      <w:r>
        <w:rPr>
          <w:rFonts w:ascii="Times New Roman"/>
          <w:b/>
          <w:sz w:val="32"/>
          <w:vertAlign w:val="superscript"/>
        </w:rPr>
        <w:t>_______________</w:t>
      </w:r>
    </w:p>
    <w:p w:rsidR="006F7274" w:rsidRDefault="001A25CE">
      <w:pPr>
        <w:suppressLineNumbers/>
        <w:spacing w:before="2"/>
        <w:jc w:val="center"/>
      </w:pPr>
      <w:r>
        <w:rPr>
          <w:rFonts w:ascii="Times New Roman"/>
          <w:sz w:val="20"/>
        </w:rPr>
        <w:t>PRESENTED BY:</w:t>
      </w:r>
    </w:p>
    <w:p w:rsidR="006F7274" w:rsidRDefault="001A25CE">
      <w:pPr>
        <w:suppressLineNumbers/>
        <w:spacing w:after="2"/>
        <w:jc w:val="center"/>
      </w:pPr>
      <w:r>
        <w:rPr>
          <w:rFonts w:ascii="Times New Roman"/>
          <w:b/>
          <w:sz w:val="24"/>
        </w:rPr>
        <w:t>John J. Binienda</w:t>
      </w:r>
    </w:p>
    <w:p w:rsidR="006F7274" w:rsidRDefault="001A25CE">
      <w:pPr>
        <w:suppressLineNumbers/>
        <w:jc w:val="center"/>
      </w:pPr>
      <w:r>
        <w:rPr>
          <w:rFonts w:ascii="Times New Roman"/>
          <w:b/>
          <w:sz w:val="32"/>
          <w:vertAlign w:val="superscript"/>
        </w:rPr>
        <w:t>_______________</w:t>
      </w:r>
    </w:p>
    <w:p w:rsidR="006F7274" w:rsidRDefault="001A25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7274" w:rsidRDefault="001A25CE">
      <w:pPr>
        <w:suppressLineNumbers/>
      </w:pPr>
      <w:r>
        <w:rPr>
          <w:rFonts w:ascii="Times New Roman"/>
          <w:sz w:val="20"/>
        </w:rPr>
        <w:tab/>
        <w:t>The undersigned legislators and/or citizens respectfully petition for the passage of the accompanying bill:</w:t>
      </w:r>
    </w:p>
    <w:p w:rsidR="006F7274" w:rsidRDefault="001A25CE">
      <w:pPr>
        <w:suppressLineNumbers/>
        <w:spacing w:after="2"/>
        <w:jc w:val="center"/>
      </w:pPr>
      <w:r>
        <w:rPr>
          <w:rFonts w:ascii="Times New Roman"/>
          <w:sz w:val="24"/>
        </w:rPr>
        <w:t xml:space="preserve">An Act </w:t>
      </w:r>
      <w:proofErr w:type="gramStart"/>
      <w:r>
        <w:rPr>
          <w:rFonts w:ascii="Times New Roman"/>
          <w:sz w:val="24"/>
        </w:rPr>
        <w:t>An</w:t>
      </w:r>
      <w:proofErr w:type="gramEnd"/>
      <w:r>
        <w:rPr>
          <w:rFonts w:ascii="Times New Roman"/>
          <w:sz w:val="24"/>
        </w:rPr>
        <w:t xml:space="preserve"> Act Relative to Es</w:t>
      </w:r>
      <w:r>
        <w:rPr>
          <w:rFonts w:ascii="Times New Roman"/>
          <w:sz w:val="24"/>
        </w:rPr>
        <w:t>tablishing a Searchable Website of State Expenditures.</w:t>
      </w:r>
    </w:p>
    <w:p w:rsidR="006F7274" w:rsidRDefault="001A25CE">
      <w:pPr>
        <w:suppressLineNumbers/>
        <w:spacing w:after="2"/>
        <w:jc w:val="center"/>
      </w:pPr>
      <w:r>
        <w:rPr>
          <w:rFonts w:ascii="Times New Roman"/>
          <w:b/>
          <w:sz w:val="32"/>
          <w:vertAlign w:val="superscript"/>
        </w:rPr>
        <w:t>_______________</w:t>
      </w:r>
    </w:p>
    <w:p w:rsidR="006F7274" w:rsidRDefault="001A25CE">
      <w:pPr>
        <w:suppressLineNumbers/>
        <w:jc w:val="center"/>
      </w:pPr>
      <w:r>
        <w:rPr>
          <w:rFonts w:ascii="Times New Roman"/>
          <w:sz w:val="20"/>
        </w:rPr>
        <w:t>PETITION OF:</w:t>
      </w:r>
    </w:p>
    <w:p w:rsidR="006F7274" w:rsidRDefault="006F72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7274">
            <w:tblPrEx>
              <w:tblCellMar>
                <w:top w:w="0" w:type="dxa"/>
                <w:bottom w:w="0" w:type="dxa"/>
              </w:tblCellMar>
            </w:tblPrEx>
            <w:tc>
              <w:tcPr>
                <w:tcW w:w="4500" w:type="dxa"/>
                <w:tcBorders>
                  <w:top w:val="nil"/>
                  <w:bottom w:val="single" w:sz="4" w:space="0" w:color="auto"/>
                  <w:right w:val="single" w:sz="4" w:space="0" w:color="auto"/>
                </w:tcBorders>
              </w:tcPr>
              <w:p w:rsidR="006F7274" w:rsidRDefault="001A25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7274" w:rsidRDefault="001A25CE">
                <w:pPr>
                  <w:suppressLineNumbers/>
                  <w:spacing w:after="2"/>
                  <w:rPr>
                    <w:smallCaps/>
                  </w:rPr>
                </w:pPr>
                <w:r>
                  <w:rPr>
                    <w:rFonts w:ascii="Times New Roman"/>
                    <w:smallCaps/>
                    <w:sz w:val="24"/>
                  </w:rPr>
                  <w:t>District/Address:</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John J. Binienda</w:t>
                </w:r>
              </w:p>
            </w:tc>
            <w:tc>
              <w:tcPr>
                <w:tcW w:w="4500" w:type="dxa"/>
              </w:tcPr>
              <w:p w:rsidR="006F7274" w:rsidRDefault="001A25CE">
                <w:pPr>
                  <w:suppressLineNumbers/>
                  <w:spacing w:after="2"/>
                  <w:rPr>
                    <w:rFonts w:ascii="Times New Roman"/>
                  </w:rPr>
                </w:pPr>
                <w:r>
                  <w:rPr>
                    <w:rFonts w:ascii="Times New Roman"/>
                  </w:rPr>
                  <w:t>17th Worcester</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Katherine Clark</w:t>
                </w:r>
              </w:p>
            </w:tc>
            <w:tc>
              <w:tcPr>
                <w:tcW w:w="4500" w:type="dxa"/>
              </w:tcPr>
              <w:p w:rsidR="006F7274" w:rsidRDefault="001A25CE">
                <w:pPr>
                  <w:suppressLineNumbers/>
                  <w:spacing w:after="2"/>
                  <w:rPr>
                    <w:rFonts w:ascii="Times New Roman"/>
                  </w:rPr>
                </w:pPr>
                <w:r>
                  <w:rPr>
                    <w:rFonts w:ascii="Times New Roman"/>
                  </w:rPr>
                  <w:t>32nd Middlesex</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Todd M. Smola</w:t>
                </w:r>
              </w:p>
            </w:tc>
            <w:tc>
              <w:tcPr>
                <w:tcW w:w="4500" w:type="dxa"/>
              </w:tcPr>
              <w:p w:rsidR="006F7274" w:rsidRDefault="001A25CE">
                <w:pPr>
                  <w:suppressLineNumbers/>
                  <w:spacing w:after="2"/>
                  <w:rPr>
                    <w:rFonts w:ascii="Times New Roman"/>
                  </w:rPr>
                </w:pPr>
                <w:r>
                  <w:rPr>
                    <w:rFonts w:ascii="Times New Roman"/>
                  </w:rPr>
                  <w:t>1st Hampden</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F. Jay Barrows</w:t>
                </w:r>
              </w:p>
            </w:tc>
            <w:tc>
              <w:tcPr>
                <w:tcW w:w="4500" w:type="dxa"/>
              </w:tcPr>
              <w:p w:rsidR="006F7274" w:rsidRDefault="001A25CE">
                <w:pPr>
                  <w:suppressLineNumbers/>
                  <w:spacing w:after="2"/>
                  <w:rPr>
                    <w:rFonts w:ascii="Times New Roman"/>
                  </w:rPr>
                </w:pPr>
                <w:r>
                  <w:rPr>
                    <w:rFonts w:ascii="Times New Roman"/>
                  </w:rPr>
                  <w:t>1st Bristol</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Barbara A. L'Italien</w:t>
                </w:r>
              </w:p>
            </w:tc>
            <w:tc>
              <w:tcPr>
                <w:tcW w:w="4500" w:type="dxa"/>
              </w:tcPr>
              <w:p w:rsidR="006F7274" w:rsidRDefault="001A25CE">
                <w:pPr>
                  <w:suppressLineNumbers/>
                  <w:spacing w:after="2"/>
                  <w:rPr>
                    <w:rFonts w:ascii="Times New Roman"/>
                  </w:rPr>
                </w:pPr>
                <w:r>
                  <w:rPr>
                    <w:rFonts w:ascii="Times New Roman"/>
                  </w:rPr>
                  <w:t xml:space="preserve">18th </w:t>
                </w:r>
                <w:r>
                  <w:rPr>
                    <w:rFonts w:ascii="Times New Roman"/>
                  </w:rPr>
                  <w:t>Essex</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Susan Williams Gifford</w:t>
                </w:r>
              </w:p>
            </w:tc>
            <w:tc>
              <w:tcPr>
                <w:tcW w:w="4500" w:type="dxa"/>
              </w:tcPr>
              <w:p w:rsidR="006F7274" w:rsidRDefault="001A25CE">
                <w:pPr>
                  <w:suppressLineNumbers/>
                  <w:spacing w:after="2"/>
                  <w:rPr>
                    <w:rFonts w:ascii="Times New Roman"/>
                  </w:rPr>
                </w:pPr>
                <w:r>
                  <w:rPr>
                    <w:rFonts w:ascii="Times New Roman"/>
                  </w:rPr>
                  <w:t>2nd Plymouth</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Byron Rushing</w:t>
                </w:r>
              </w:p>
            </w:tc>
            <w:tc>
              <w:tcPr>
                <w:tcW w:w="4500" w:type="dxa"/>
              </w:tcPr>
              <w:p w:rsidR="006F7274" w:rsidRDefault="001A25CE">
                <w:pPr>
                  <w:suppressLineNumbers/>
                  <w:spacing w:after="2"/>
                  <w:rPr>
                    <w:rFonts w:ascii="Times New Roman"/>
                  </w:rPr>
                </w:pPr>
                <w:r>
                  <w:rPr>
                    <w:rFonts w:ascii="Times New Roman"/>
                  </w:rPr>
                  <w:t>9th Suffolk</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 xml:space="preserve">Theodore C. </w:t>
                </w:r>
                <w:proofErr w:type="spellStart"/>
                <w:r>
                  <w:rPr>
                    <w:rFonts w:ascii="Times New Roman"/>
                  </w:rPr>
                  <w:t>Speliotis</w:t>
                </w:r>
                <w:proofErr w:type="spellEnd"/>
              </w:p>
            </w:tc>
            <w:tc>
              <w:tcPr>
                <w:tcW w:w="4500" w:type="dxa"/>
              </w:tcPr>
              <w:p w:rsidR="006F7274" w:rsidRDefault="001A25CE">
                <w:pPr>
                  <w:suppressLineNumbers/>
                  <w:spacing w:after="2"/>
                  <w:rPr>
                    <w:rFonts w:ascii="Times New Roman"/>
                  </w:rPr>
                </w:pPr>
                <w:r>
                  <w:rPr>
                    <w:rFonts w:ascii="Times New Roman"/>
                  </w:rPr>
                  <w:t>13th Essex</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Mary E. Grant</w:t>
                </w:r>
              </w:p>
            </w:tc>
            <w:tc>
              <w:tcPr>
                <w:tcW w:w="4500" w:type="dxa"/>
              </w:tcPr>
              <w:p w:rsidR="006F7274" w:rsidRDefault="001A25CE">
                <w:pPr>
                  <w:suppressLineNumbers/>
                  <w:spacing w:after="2"/>
                  <w:rPr>
                    <w:rFonts w:ascii="Times New Roman"/>
                  </w:rPr>
                </w:pPr>
                <w:r>
                  <w:rPr>
                    <w:rFonts w:ascii="Times New Roman"/>
                  </w:rPr>
                  <w:t>6th Essex</w:t>
                </w:r>
              </w:p>
            </w:tc>
          </w:tr>
          <w:tr w:rsidR="006F7274">
            <w:tblPrEx>
              <w:tblCellMar>
                <w:top w:w="0" w:type="dxa"/>
                <w:bottom w:w="0" w:type="dxa"/>
              </w:tblCellMar>
            </w:tblPrEx>
            <w:tc>
              <w:tcPr>
                <w:tcW w:w="4500" w:type="dxa"/>
              </w:tcPr>
              <w:p w:rsidR="006F7274" w:rsidRDefault="001A25CE">
                <w:pPr>
                  <w:suppressLineNumbers/>
                  <w:spacing w:after="2"/>
                  <w:rPr>
                    <w:rFonts w:ascii="Times New Roman"/>
                  </w:rPr>
                </w:pPr>
                <w:r>
                  <w:rPr>
                    <w:rFonts w:ascii="Times New Roman"/>
                  </w:rPr>
                  <w:t xml:space="preserve">Michael R. </w:t>
                </w:r>
                <w:proofErr w:type="spellStart"/>
                <w:r>
                  <w:rPr>
                    <w:rFonts w:ascii="Times New Roman"/>
                  </w:rPr>
                  <w:t>Bazinet</w:t>
                </w:r>
                <w:proofErr w:type="spellEnd"/>
              </w:p>
            </w:tc>
            <w:tc>
              <w:tcPr>
                <w:tcW w:w="4500" w:type="dxa"/>
              </w:tcPr>
              <w:p w:rsidR="006F7274" w:rsidRDefault="006F7274">
                <w:pPr>
                  <w:suppressLineNumbers/>
                  <w:spacing w:after="2"/>
                  <w:rPr>
                    <w:rFonts w:ascii="Times New Roman"/>
                  </w:rPr>
                </w:pPr>
              </w:p>
            </w:tc>
          </w:tr>
        </w:tbl>
      </w:sdtContent>
    </w:sdt>
    <w:p w:rsidR="006F7274" w:rsidRDefault="001A25CE">
      <w:pPr>
        <w:suppressLineNumbers/>
      </w:pPr>
      <w:r>
        <w:br w:type="page"/>
      </w:r>
    </w:p>
    <w:p w:rsidR="006F7274" w:rsidRDefault="001A25CE">
      <w:pPr>
        <w:suppressLineNumbers/>
        <w:spacing w:before="2" w:after="2"/>
        <w:jc w:val="center"/>
      </w:pPr>
      <w:r>
        <w:rPr>
          <w:rFonts w:ascii="Old English Text MT"/>
          <w:sz w:val="32"/>
        </w:rPr>
        <w:lastRenderedPageBreak/>
        <w:t>The Commonwealth of Massachusetts</w:t>
      </w:r>
      <w:r>
        <w:rPr>
          <w:rFonts w:ascii="Old English Text MT"/>
          <w:sz w:val="32"/>
        </w:rPr>
        <w:br/>
      </w:r>
    </w:p>
    <w:p w:rsidR="006F7274" w:rsidRDefault="001A25CE">
      <w:pPr>
        <w:suppressLineNumbers/>
        <w:spacing w:after="2"/>
        <w:jc w:val="center"/>
      </w:pPr>
      <w:r>
        <w:rPr>
          <w:rFonts w:ascii="Times New Roman"/>
          <w:b/>
          <w:sz w:val="24"/>
          <w:vertAlign w:val="superscript"/>
        </w:rPr>
        <w:t>_______________</w:t>
      </w:r>
    </w:p>
    <w:p w:rsidR="006F7274" w:rsidRDefault="001A25CE">
      <w:pPr>
        <w:suppressLineNumbers/>
        <w:spacing w:after="2"/>
        <w:jc w:val="center"/>
      </w:pPr>
      <w:r>
        <w:rPr>
          <w:rFonts w:ascii="Times New Roman"/>
          <w:b/>
          <w:sz w:val="18"/>
        </w:rPr>
        <w:t>In the Year Two Thousand and Nine</w:t>
      </w:r>
    </w:p>
    <w:p w:rsidR="006F7274" w:rsidRDefault="001A25CE">
      <w:pPr>
        <w:suppressLineNumbers/>
        <w:spacing w:after="2"/>
        <w:jc w:val="center"/>
      </w:pPr>
      <w:r>
        <w:rPr>
          <w:rFonts w:ascii="Times New Roman"/>
          <w:b/>
          <w:sz w:val="24"/>
          <w:vertAlign w:val="superscript"/>
        </w:rPr>
        <w:t>_______________</w:t>
      </w:r>
    </w:p>
    <w:p w:rsidR="006F7274" w:rsidRDefault="001A25CE">
      <w:pPr>
        <w:suppressLineNumbers/>
        <w:spacing w:after="2"/>
      </w:pPr>
      <w:r>
        <w:rPr>
          <w:sz w:val="14"/>
        </w:rPr>
        <w:br/>
      </w:r>
      <w:r>
        <w:br/>
      </w:r>
    </w:p>
    <w:p w:rsidR="006F7274" w:rsidRDefault="001A25CE">
      <w:pPr>
        <w:suppressLineNumbers/>
      </w:pPr>
      <w:r>
        <w:rPr>
          <w:rFonts w:ascii="Times New Roman"/>
          <w:smallCaps/>
          <w:sz w:val="28"/>
        </w:rPr>
        <w:t>An Act An Act Relative to Establishing a Searchable Website of State Expenditures.</w:t>
      </w:r>
      <w:r>
        <w:br/>
      </w:r>
      <w:r>
        <w:br/>
      </w:r>
      <w:r>
        <w:br/>
      </w:r>
    </w:p>
    <w:p w:rsidR="006F7274" w:rsidRDefault="001A25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25CE" w:rsidRPr="001A25CE" w:rsidRDefault="001A25CE" w:rsidP="001A25CE">
      <w:pPr>
        <w:rPr>
          <w:rFonts w:ascii="Times New Roman" w:hAnsi="Times New Roman" w:cs="Times New Roman"/>
          <w:sz w:val="24"/>
          <w:szCs w:val="24"/>
        </w:rPr>
      </w:pPr>
      <w:r>
        <w:rPr>
          <w:rFonts w:ascii="Times New Roman"/>
        </w:rPr>
        <w:tab/>
      </w:r>
      <w:r w:rsidRPr="001A25CE">
        <w:rPr>
          <w:rFonts w:ascii="Times New Roman" w:hAnsi="Times New Roman" w:cs="Times New Roman"/>
          <w:sz w:val="24"/>
          <w:szCs w:val="24"/>
        </w:rPr>
        <w:t>Chapter 7 of the General Laws, as appearing in the 2006 Official Edition, is hereby amended by adding after Section 3 the following:</w:t>
      </w:r>
    </w:p>
    <w:p w:rsidR="001A25CE" w:rsidRPr="001A25CE" w:rsidRDefault="001A25CE" w:rsidP="001A25CE">
      <w:pPr>
        <w:rPr>
          <w:rFonts w:ascii="Times New Roman" w:hAnsi="Times New Roman" w:cs="Times New Roman"/>
          <w:sz w:val="24"/>
          <w:szCs w:val="24"/>
        </w:rPr>
      </w:pPr>
      <w:r w:rsidRPr="001A25CE">
        <w:rPr>
          <w:rFonts w:ascii="Times New Roman" w:hAnsi="Times New Roman" w:cs="Times New Roman"/>
          <w:sz w:val="24"/>
          <w:szCs w:val="24"/>
        </w:rPr>
        <w:tab/>
      </w:r>
    </w:p>
    <w:p w:rsidR="001A25CE" w:rsidRPr="001A25CE" w:rsidRDefault="001A25CE" w:rsidP="001A25CE">
      <w:pPr>
        <w:rPr>
          <w:rFonts w:ascii="Times New Roman" w:hAnsi="Times New Roman" w:cs="Times New Roman"/>
          <w:sz w:val="24"/>
          <w:szCs w:val="24"/>
          <w:u w:val="single"/>
        </w:rPr>
      </w:pPr>
      <w:r w:rsidRPr="001A25CE">
        <w:rPr>
          <w:rFonts w:ascii="Times New Roman" w:hAnsi="Times New Roman" w:cs="Times New Roman"/>
          <w:sz w:val="24"/>
          <w:szCs w:val="24"/>
        </w:rPr>
        <w:tab/>
      </w:r>
      <w:r w:rsidRPr="001A25CE">
        <w:rPr>
          <w:rFonts w:ascii="Times New Roman" w:hAnsi="Times New Roman" w:cs="Times New Roman"/>
          <w:sz w:val="24"/>
          <w:szCs w:val="24"/>
          <w:u w:val="single"/>
        </w:rPr>
        <w:t>Section 3 1/2</w:t>
      </w:r>
    </w:p>
    <w:p w:rsidR="001A25CE" w:rsidRPr="001A25CE" w:rsidRDefault="001A25CE" w:rsidP="001A25CE">
      <w:pPr>
        <w:rPr>
          <w:rFonts w:ascii="Times New Roman" w:hAnsi="Times New Roman" w:cs="Times New Roman"/>
          <w:sz w:val="24"/>
          <w:szCs w:val="24"/>
        </w:rPr>
      </w:pPr>
    </w:p>
    <w:p w:rsidR="001A25CE" w:rsidRPr="001A25CE" w:rsidRDefault="001A25CE" w:rsidP="001A25CE">
      <w:pPr>
        <w:numPr>
          <w:ilvl w:val="0"/>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As used in this section:</w:t>
      </w:r>
    </w:p>
    <w:p w:rsidR="001A25CE" w:rsidRPr="001A25CE" w:rsidRDefault="001A25CE" w:rsidP="001A25CE">
      <w:pPr>
        <w:numPr>
          <w:ilvl w:val="1"/>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“Searchable website” means a website that allows the public to search and aggregate information described in subsection (c) at no cost; and</w:t>
      </w:r>
    </w:p>
    <w:p w:rsidR="001A25CE" w:rsidRPr="001A25CE" w:rsidRDefault="001A25CE" w:rsidP="001A25CE">
      <w:pPr>
        <w:numPr>
          <w:ilvl w:val="1"/>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“Expenditure of state funds” means the expenditure or transfer of any state appropriated or non-appropriated by any department, agency, office, or entity of state government in forms including but not limited to:</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Grants;</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Contracts;</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Subcontracts;</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Purchase orders; and</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Expenditures from Reserve Fund</w:t>
      </w:r>
    </w:p>
    <w:p w:rsidR="001A25CE" w:rsidRPr="001A25CE" w:rsidRDefault="001A25CE" w:rsidP="001A25CE">
      <w:pPr>
        <w:ind w:left="2520"/>
        <w:rPr>
          <w:rFonts w:ascii="Times New Roman" w:hAnsi="Times New Roman" w:cs="Times New Roman"/>
          <w:sz w:val="24"/>
          <w:szCs w:val="24"/>
        </w:rPr>
      </w:pPr>
      <w:r w:rsidRPr="001A25CE">
        <w:rPr>
          <w:rFonts w:ascii="Times New Roman" w:hAnsi="Times New Roman" w:cs="Times New Roman"/>
          <w:sz w:val="24"/>
          <w:szCs w:val="24"/>
        </w:rPr>
        <w:t>“Expenditure of state funds” does not include the transfer of funds between two departments, agencies, offices, or entities of state government, nor does it include the transfer of state or federal assistance payments to an individual recipient/beneficiary of such assistance payments.</w:t>
      </w:r>
    </w:p>
    <w:p w:rsidR="001A25CE" w:rsidRPr="001A25CE" w:rsidRDefault="001A25CE" w:rsidP="001A25CE">
      <w:pPr>
        <w:ind w:left="2520"/>
        <w:rPr>
          <w:rFonts w:ascii="Times New Roman" w:hAnsi="Times New Roman" w:cs="Times New Roman"/>
          <w:sz w:val="24"/>
          <w:szCs w:val="24"/>
        </w:rPr>
      </w:pPr>
    </w:p>
    <w:p w:rsidR="001A25CE" w:rsidRPr="001A25CE" w:rsidRDefault="001A25CE" w:rsidP="001A25CE">
      <w:pPr>
        <w:numPr>
          <w:ilvl w:val="0"/>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No later than January 1, 2010,  the Executive Office for Administration and Finance shall develop and operate a single website, accessible by the public at no cost, that includes:</w:t>
      </w:r>
    </w:p>
    <w:p w:rsidR="001A25CE" w:rsidRPr="001A25CE" w:rsidRDefault="001A25CE" w:rsidP="001A25CE">
      <w:pPr>
        <w:numPr>
          <w:ilvl w:val="1"/>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For each expenditure of state funds, information including, but not limited to:</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Name and municipality of the mailing address of the entity and/or recipients of the funds;</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Amount of expenditure;</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Type of transaction;</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Identity of the department, agency, office, or entity of state government making the expenditure;</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 xml:space="preserve">Budget program source for the expenditure; </w:t>
      </w:r>
    </w:p>
    <w:p w:rsidR="001A25CE" w:rsidRPr="001A25CE" w:rsidRDefault="001A25CE" w:rsidP="001A25CE">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1A25CE">
        <w:rPr>
          <w:rFonts w:ascii="Times New Roman" w:hAnsi="Times New Roman" w:cs="Times New Roman"/>
          <w:sz w:val="24"/>
          <w:szCs w:val="24"/>
        </w:rPr>
        <w:t>Any other information deemed relevant by the Executive Office for Administration and Finance.</w:t>
      </w:r>
    </w:p>
    <w:p w:rsidR="001A25CE" w:rsidRPr="001A25CE" w:rsidRDefault="001A25CE" w:rsidP="001A25CE">
      <w:pPr>
        <w:ind w:left="3060"/>
        <w:rPr>
          <w:rFonts w:ascii="Times New Roman" w:hAnsi="Times New Roman" w:cs="Times New Roman"/>
          <w:sz w:val="24"/>
          <w:szCs w:val="24"/>
        </w:rPr>
      </w:pPr>
    </w:p>
    <w:p w:rsidR="001A25CE" w:rsidRPr="001A25CE" w:rsidRDefault="001A25CE" w:rsidP="001A25CE">
      <w:pPr>
        <w:numPr>
          <w:ilvl w:val="1"/>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The ability of the user to view information on the website in a format that is searchable and that may be downloaded and managed by the user with appropriate software; and</w:t>
      </w:r>
    </w:p>
    <w:p w:rsidR="001A25CE" w:rsidRPr="001A25CE" w:rsidRDefault="001A25CE" w:rsidP="001A25CE">
      <w:pPr>
        <w:numPr>
          <w:ilvl w:val="1"/>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The ability of users to provide input to the department regarding the utility of the site and recommendations for improvements.</w:t>
      </w:r>
    </w:p>
    <w:p w:rsidR="001A25CE" w:rsidRPr="001A25CE" w:rsidRDefault="001A25CE" w:rsidP="001A25CE">
      <w:pPr>
        <w:numPr>
          <w:ilvl w:val="0"/>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The website shall include information for fiscal year 2009 no later than January 1, 2010; and thereafter, the website shall include information for the most recently completed fiscal year by September 30</w:t>
      </w:r>
      <w:r w:rsidRPr="001A25CE">
        <w:rPr>
          <w:rFonts w:ascii="Times New Roman" w:hAnsi="Times New Roman" w:cs="Times New Roman"/>
          <w:sz w:val="24"/>
          <w:szCs w:val="24"/>
          <w:vertAlign w:val="superscript"/>
        </w:rPr>
        <w:t>th</w:t>
      </w:r>
      <w:r w:rsidRPr="001A25CE">
        <w:rPr>
          <w:rFonts w:ascii="Times New Roman" w:hAnsi="Times New Roman" w:cs="Times New Roman"/>
          <w:sz w:val="24"/>
          <w:szCs w:val="24"/>
        </w:rPr>
        <w:t xml:space="preserve"> of each year.</w:t>
      </w:r>
    </w:p>
    <w:p w:rsidR="001A25CE" w:rsidRPr="001A25CE" w:rsidRDefault="001A25CE" w:rsidP="001A25CE">
      <w:pPr>
        <w:numPr>
          <w:ilvl w:val="0"/>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All departments, agencies, and entities of state government shall fully cooperate with the Executive Office for Administration and Finance in compiling and providing all information necessary to comply with the requirements of this section.</w:t>
      </w:r>
    </w:p>
    <w:p w:rsidR="001A25CE" w:rsidRPr="001A25CE" w:rsidRDefault="001A25CE" w:rsidP="001A25CE">
      <w:pPr>
        <w:numPr>
          <w:ilvl w:val="0"/>
          <w:numId w:val="1"/>
        </w:numPr>
        <w:spacing w:after="0" w:line="240" w:lineRule="auto"/>
        <w:rPr>
          <w:rFonts w:ascii="Times New Roman" w:hAnsi="Times New Roman" w:cs="Times New Roman"/>
          <w:sz w:val="24"/>
          <w:szCs w:val="24"/>
        </w:rPr>
      </w:pPr>
      <w:r w:rsidRPr="001A25CE">
        <w:rPr>
          <w:rFonts w:ascii="Times New Roman" w:hAnsi="Times New Roman" w:cs="Times New Roman"/>
          <w:sz w:val="24"/>
          <w:szCs w:val="24"/>
        </w:rPr>
        <w:t>Nothing in this section shall require disclosure of information deemed confidential by state or federal law.</w:t>
      </w:r>
    </w:p>
    <w:p w:rsidR="001A25CE" w:rsidRPr="001A25CE" w:rsidRDefault="001A25CE" w:rsidP="001A25CE">
      <w:pPr>
        <w:rPr>
          <w:rFonts w:ascii="Times New Roman" w:hAnsi="Times New Roman" w:cs="Times New Roman"/>
          <w:sz w:val="24"/>
          <w:szCs w:val="24"/>
        </w:rPr>
      </w:pPr>
    </w:p>
    <w:p w:rsidR="001A25CE" w:rsidRPr="001A25CE" w:rsidRDefault="001A25CE" w:rsidP="001A25CE">
      <w:pPr>
        <w:rPr>
          <w:rFonts w:ascii="Times New Roman" w:hAnsi="Times New Roman" w:cs="Times New Roman"/>
          <w:sz w:val="24"/>
          <w:szCs w:val="24"/>
        </w:rPr>
      </w:pPr>
      <w:r w:rsidRPr="001A25CE">
        <w:rPr>
          <w:rFonts w:ascii="Times New Roman" w:hAnsi="Times New Roman" w:cs="Times New Roman"/>
          <w:sz w:val="24"/>
          <w:szCs w:val="24"/>
        </w:rPr>
        <w:t>This act shall take effect upon becoming law.</w:t>
      </w:r>
    </w:p>
    <w:p w:rsidR="006F7274" w:rsidRDefault="006F7274">
      <w:pPr>
        <w:spacing w:line="336" w:lineRule="auto"/>
      </w:pPr>
    </w:p>
    <w:sectPr w:rsidR="006F7274" w:rsidSect="006F72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B3447"/>
    <w:multiLevelType w:val="hybridMultilevel"/>
    <w:tmpl w:val="EF3C6A0C"/>
    <w:lvl w:ilvl="0" w:tplc="3014F412">
      <w:start w:val="1"/>
      <w:numFmt w:val="lowerLetter"/>
      <w:lvlText w:val="(%1)"/>
      <w:lvlJc w:val="left"/>
      <w:pPr>
        <w:tabs>
          <w:tab w:val="num" w:pos="1800"/>
        </w:tabs>
        <w:ind w:left="1800" w:hanging="360"/>
      </w:pPr>
      <w:rPr>
        <w:rFonts w:hint="default"/>
      </w:rPr>
    </w:lvl>
    <w:lvl w:ilvl="1" w:tplc="C36A4342">
      <w:start w:val="1"/>
      <w:numFmt w:val="decimal"/>
      <w:lvlText w:val="%2."/>
      <w:lvlJc w:val="left"/>
      <w:pPr>
        <w:tabs>
          <w:tab w:val="num" w:pos="2520"/>
        </w:tabs>
        <w:ind w:left="2520" w:hanging="360"/>
      </w:pPr>
      <w:rPr>
        <w:rFonts w:ascii="Times New Roman" w:eastAsia="Times New Roman" w:hAnsi="Times New Roman" w:cs="Times New Roman"/>
      </w:rPr>
    </w:lvl>
    <w:lvl w:ilvl="2" w:tplc="B14084CE">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DBBC6960">
      <w:start w:val="1"/>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6F7274"/>
    <w:rsid w:val="001A25CE"/>
    <w:rsid w:val="006F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5CE"/>
    <w:rPr>
      <w:rFonts w:ascii="Tahoma" w:hAnsi="Tahoma" w:cs="Tahoma"/>
      <w:sz w:val="16"/>
      <w:szCs w:val="16"/>
    </w:rPr>
  </w:style>
  <w:style w:type="character" w:styleId="LineNumber">
    <w:name w:val="line number"/>
    <w:basedOn w:val="DefaultParagraphFont"/>
    <w:uiPriority w:val="99"/>
    <w:semiHidden/>
    <w:unhideWhenUsed/>
    <w:rsid w:val="001A25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3098</Characters>
  <Application>Microsoft Office Word</Application>
  <DocSecurity>0</DocSecurity>
  <Lines>25</Lines>
  <Paragraphs>7</Paragraphs>
  <ScaleCrop>false</ScaleCrop>
  <Company>LEG</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2009-01-16T18:41:00Z</dcterms:created>
  <dcterms:modified xsi:type="dcterms:W3CDTF">2009-01-16T18:41:00Z</dcterms:modified>
</cp:coreProperties>
</file>